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EA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en-US"/>
        </w:rPr>
        <w:drawing>
          <wp:inline distT="0" distB="0" distL="0" distR="0">
            <wp:extent cx="1143000" cy="118872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87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307E">
      <w:pPr>
        <w:spacing w:line="235" w:lineRule="auto"/>
        <w:jc w:val="center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 xml:space="preserve">На основу чл.  </w:t>
      </w:r>
      <w:r>
        <w:rPr>
          <w:rFonts w:cs="Calibri"/>
          <w:sz w:val="24"/>
          <w:szCs w:val="24"/>
          <w:lang/>
        </w:rPr>
        <w:t xml:space="preserve">44.  </w:t>
      </w:r>
      <w:r>
        <w:rPr>
          <w:rFonts w:cs="Calibri"/>
          <w:sz w:val="24"/>
          <w:szCs w:val="24"/>
        </w:rPr>
        <w:t xml:space="preserve">Закона о инспекцијском надзору, Одељење за инспекцијске послове управе градске општине </w:t>
      </w:r>
      <w:r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</w:rPr>
        <w:t xml:space="preserve">Нови Београд </w:t>
      </w:r>
      <w:r>
        <w:rPr>
          <w:rFonts w:cs="Calibri"/>
          <w:sz w:val="24"/>
          <w:szCs w:val="24"/>
          <w:lang/>
        </w:rPr>
        <w:t>доноси</w:t>
      </w:r>
    </w:p>
    <w:p w:rsidR="00000000" w:rsidRDefault="005D307E">
      <w:pPr>
        <w:pStyle w:val="Heading9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</w:rPr>
        <w:t>ИЗВЕШТАЈ О РАДУ</w:t>
      </w:r>
      <w:r>
        <w:rPr>
          <w:rFonts w:ascii="Calibri" w:hAnsi="Calibri" w:cs="Calibri"/>
          <w:lang/>
        </w:rPr>
        <w:t xml:space="preserve"> ЗА 201</w:t>
      </w:r>
      <w:r>
        <w:rPr>
          <w:rFonts w:ascii="Calibri" w:hAnsi="Calibri" w:cs="Calibri"/>
          <w:lang w:val="en-US"/>
        </w:rPr>
        <w:t>9</w:t>
      </w:r>
      <w:r>
        <w:rPr>
          <w:rFonts w:ascii="Calibri" w:hAnsi="Calibri" w:cs="Calibri"/>
          <w:lang/>
        </w:rPr>
        <w:t>. ГОДИНУ И ПОКАЗАТЕЉИ ДЕЛОТВОРНОСТИ ИНСПЕКЦИЈСКОГ НАДЗОРА ОДСЕКА КОМУНАЛНЕ ИНСПЕКЦИЈЕ</w:t>
      </w:r>
    </w:p>
    <w:p w:rsidR="00000000" w:rsidRDefault="005D307E">
      <w:pPr>
        <w:jc w:val="both"/>
        <w:rPr>
          <w:rFonts w:cs="Calibri"/>
          <w:sz w:val="24"/>
          <w:szCs w:val="24"/>
        </w:rPr>
      </w:pPr>
    </w:p>
    <w:p w:rsidR="00000000" w:rsidRDefault="005D307E">
      <w:pPr>
        <w:tabs>
          <w:tab w:val="left" w:pos="1440"/>
        </w:tabs>
        <w:jc w:val="center"/>
        <w:rPr>
          <w:rFonts w:cs="Calibri"/>
          <w:sz w:val="24"/>
          <w:szCs w:val="24"/>
          <w:lang/>
        </w:rPr>
      </w:pPr>
      <w:r>
        <w:rPr>
          <w:rFonts w:cs="Calibri"/>
          <w:b/>
          <w:sz w:val="24"/>
          <w:szCs w:val="24"/>
          <w:lang w:val="sr-Cyrl-CS"/>
        </w:rPr>
        <w:t xml:space="preserve">Надлежност </w:t>
      </w:r>
      <w:r>
        <w:rPr>
          <w:rFonts w:cs="Calibri"/>
          <w:b/>
          <w:sz w:val="24"/>
          <w:szCs w:val="24"/>
          <w:lang/>
        </w:rPr>
        <w:t>одсек</w:t>
      </w:r>
      <w:r>
        <w:rPr>
          <w:rFonts w:cs="Calibri"/>
          <w:b/>
          <w:sz w:val="24"/>
          <w:szCs w:val="24"/>
          <w:lang/>
        </w:rPr>
        <w:t>а комуналне инспекције</w:t>
      </w:r>
    </w:p>
    <w:p w:rsidR="00000000" w:rsidRDefault="005D3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CS"/>
        </w:rPr>
        <w:t>Одсек комуналне инспекције као орган управе  у саставу Одељења за инспекцијске послове градске општине Нови Београд обавља послове инспекцијског надзора с првенст</w:t>
      </w:r>
      <w:r>
        <w:rPr>
          <w:rFonts w:cs="Calibri"/>
          <w:sz w:val="24"/>
          <w:szCs w:val="24"/>
          <w:lang/>
        </w:rPr>
        <w:t>в</w:t>
      </w:r>
      <w:r>
        <w:rPr>
          <w:rFonts w:cs="Calibri"/>
          <w:sz w:val="24"/>
          <w:szCs w:val="24"/>
          <w:lang w:val="sr-Cyrl-CS"/>
        </w:rPr>
        <w:t xml:space="preserve">еним циљем </w:t>
      </w:r>
      <w:r>
        <w:rPr>
          <w:rFonts w:cs="Calibri"/>
          <w:sz w:val="24"/>
          <w:szCs w:val="24"/>
        </w:rPr>
        <w:t>да се превентивним деловањем или изрицањем мера оствари зак</w:t>
      </w:r>
      <w:r>
        <w:rPr>
          <w:rFonts w:cs="Calibri"/>
          <w:sz w:val="24"/>
          <w:szCs w:val="24"/>
        </w:rPr>
        <w:t xml:space="preserve">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</w:t>
      </w:r>
      <w:r>
        <w:rPr>
          <w:rFonts w:cs="Calibri"/>
          <w:sz w:val="24"/>
          <w:szCs w:val="24"/>
          <w:lang/>
        </w:rPr>
        <w:t xml:space="preserve">посебно у области </w:t>
      </w:r>
      <w:r>
        <w:rPr>
          <w:rFonts w:cs="Calibri"/>
          <w:sz w:val="24"/>
          <w:szCs w:val="24"/>
          <w:lang w:val="sr-Cyrl-CS"/>
        </w:rPr>
        <w:t>одржавања и успостављања комуналног и  кућног реда, контроле заузећа јавн</w:t>
      </w:r>
      <w:r>
        <w:rPr>
          <w:rFonts w:cs="Calibri"/>
          <w:sz w:val="24"/>
          <w:szCs w:val="24"/>
          <w:lang w:val="sr-Cyrl-CS"/>
        </w:rPr>
        <w:t>их и других површина и заштите  јавног интереса , јавних прихода  и друго.</w:t>
      </w:r>
    </w:p>
    <w:p w:rsidR="00000000" w:rsidRDefault="005D307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Поред инспекцијског надзора, одсек комуналне инспекције у 2019. години континуирано је радио на прикупљању и анализи података као и представки грађана, праћењу и анализирању стања у</w:t>
      </w:r>
      <w:r>
        <w:rPr>
          <w:rFonts w:cs="Calibri"/>
          <w:sz w:val="24"/>
          <w:szCs w:val="24"/>
          <w:lang/>
        </w:rPr>
        <w:t xml:space="preserve"> области инспекцијског надзора и делокруга рада комуналне инспекције са освртом на процене ризика, прикупљању информација и података других државних органа и анализом испекцијске, управне, судске и пословне праксе из одговарајуће области. Комунална инспекц</w:t>
      </w:r>
      <w:r>
        <w:rPr>
          <w:rFonts w:cs="Calibri"/>
          <w:sz w:val="24"/>
          <w:szCs w:val="24"/>
          <w:lang/>
        </w:rPr>
        <w:t>ија градске општине у складу са планом рада редовно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>је сачињавала евиденције, извештаје, усклађивала и координирала инспекцијски надзор са другим инспекцијским органима</w:t>
      </w:r>
      <w:r>
        <w:rPr>
          <w:rFonts w:cs="Calibri"/>
          <w:sz w:val="24"/>
          <w:szCs w:val="24"/>
        </w:rPr>
        <w:t xml:space="preserve"> и </w:t>
      </w:r>
      <w:r>
        <w:rPr>
          <w:rFonts w:cs="Calibri"/>
          <w:sz w:val="24"/>
          <w:szCs w:val="24"/>
          <w:lang/>
        </w:rPr>
        <w:t>непрекидно</w:t>
      </w:r>
      <w:r>
        <w:rPr>
          <w:rFonts w:cs="Calibri"/>
          <w:sz w:val="24"/>
          <w:szCs w:val="24"/>
        </w:rPr>
        <w:t xml:space="preserve"> ради</w:t>
      </w:r>
      <w:r>
        <w:rPr>
          <w:rFonts w:cs="Calibri"/>
          <w:sz w:val="24"/>
          <w:szCs w:val="24"/>
          <w:lang/>
        </w:rPr>
        <w:t>ла</w:t>
      </w:r>
      <w:r>
        <w:rPr>
          <w:rFonts w:cs="Calibri"/>
          <w:sz w:val="24"/>
          <w:szCs w:val="24"/>
        </w:rPr>
        <w:t xml:space="preserve"> на унапређењу рада комуналних инспектора.</w:t>
      </w:r>
      <w:r>
        <w:rPr>
          <w:rFonts w:cs="Calibri"/>
          <w:sz w:val="24"/>
          <w:szCs w:val="24"/>
          <w:lang/>
        </w:rPr>
        <w:t xml:space="preserve"> </w:t>
      </w:r>
    </w:p>
    <w:p w:rsidR="00000000" w:rsidRDefault="005D307E">
      <w:pPr>
        <w:ind w:firstLine="720"/>
        <w:jc w:val="both"/>
        <w:rPr>
          <w:rFonts w:cs="Calibri"/>
          <w:b/>
          <w:sz w:val="24"/>
          <w:szCs w:val="24"/>
          <w:lang/>
        </w:rPr>
      </w:pPr>
    </w:p>
    <w:p w:rsidR="00000000" w:rsidRDefault="005D307E">
      <w:pPr>
        <w:tabs>
          <w:tab w:val="left" w:pos="1440"/>
        </w:tabs>
        <w:jc w:val="center"/>
        <w:rPr>
          <w:rFonts w:cs="Calibri"/>
          <w:b/>
          <w:sz w:val="24"/>
          <w:szCs w:val="24"/>
          <w:lang w:val="sr-Cyrl-CS"/>
        </w:rPr>
      </w:pPr>
      <w:r>
        <w:rPr>
          <w:rFonts w:cs="Calibri"/>
          <w:b/>
          <w:sz w:val="24"/>
          <w:szCs w:val="24"/>
          <w:lang w:val="sr-Cyrl-CS"/>
        </w:rPr>
        <w:t>Извршиоци, организација</w:t>
      </w:r>
      <w:r>
        <w:rPr>
          <w:rFonts w:cs="Calibri"/>
          <w:b/>
          <w:sz w:val="24"/>
          <w:szCs w:val="24"/>
          <w:lang w:val="sr-Cyrl-CS"/>
        </w:rPr>
        <w:t xml:space="preserve"> и технички капацитети</w:t>
      </w:r>
    </w:p>
    <w:p w:rsidR="00000000" w:rsidRDefault="005D307E">
      <w:pPr>
        <w:spacing w:after="0" w:line="240" w:lineRule="auto"/>
        <w:jc w:val="both"/>
        <w:rPr>
          <w:rFonts w:eastAsia="Times New Roman" w:cs="Calibri"/>
          <w:sz w:val="24"/>
          <w:szCs w:val="24"/>
          <w:lang/>
        </w:rPr>
      </w:pPr>
      <w:r>
        <w:rPr>
          <w:rFonts w:cs="Calibri"/>
          <w:sz w:val="24"/>
          <w:szCs w:val="24"/>
          <w:lang w:val="sr-Cyrl-CS"/>
        </w:rPr>
        <w:t xml:space="preserve">           Укупан  број запослених у одсеку комуналне инспекције</w:t>
      </w:r>
      <w:r>
        <w:rPr>
          <w:rFonts w:cs="Calibri"/>
          <w:sz w:val="24"/>
          <w:szCs w:val="24"/>
        </w:rPr>
        <w:t xml:space="preserve"> 201</w:t>
      </w:r>
      <w:r>
        <w:rPr>
          <w:rFonts w:cs="Calibri"/>
          <w:sz w:val="24"/>
          <w:szCs w:val="24"/>
          <w:lang/>
        </w:rPr>
        <w:t>9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  <w:lang/>
        </w:rPr>
        <w:t>г</w:t>
      </w:r>
      <w:r>
        <w:rPr>
          <w:rFonts w:cs="Calibri"/>
          <w:sz w:val="24"/>
          <w:szCs w:val="24"/>
        </w:rPr>
        <w:t xml:space="preserve">одине </w:t>
      </w:r>
      <w:r>
        <w:rPr>
          <w:rFonts w:cs="Calibri"/>
          <w:sz w:val="24"/>
          <w:szCs w:val="24"/>
          <w:lang/>
        </w:rPr>
        <w:t>је 23</w:t>
      </w:r>
      <w:r>
        <w:rPr>
          <w:rFonts w:cs="Calibri"/>
          <w:sz w:val="24"/>
          <w:szCs w:val="24"/>
          <w:lang w:val="sr-Cyrl-CS"/>
        </w:rPr>
        <w:t xml:space="preserve"> инспектора , шеф одсека и начелник одељења за инспекцијске послове, а два инсп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  <w:lang w:val="sr-Cyrl-CS"/>
        </w:rPr>
        <w:t>ктора крајем године отишла су пензију. Комунална инспекција највеће оп</w:t>
      </w:r>
      <w:r>
        <w:rPr>
          <w:rFonts w:cs="Calibri"/>
          <w:sz w:val="24"/>
          <w:szCs w:val="24"/>
          <w:lang w:val="sr-Cyrl-CS"/>
        </w:rPr>
        <w:t xml:space="preserve">штине града Београда која се простире на </w:t>
      </w:r>
      <w:r>
        <w:rPr>
          <w:sz w:val="24"/>
          <w:szCs w:val="24"/>
        </w:rPr>
        <w:t>4.096 хектара</w:t>
      </w:r>
      <w:r>
        <w:rPr>
          <w:rFonts w:cs="Calibri"/>
          <w:sz w:val="24"/>
          <w:szCs w:val="24"/>
          <w:lang w:val="sr-Cyrl-CS"/>
        </w:rPr>
        <w:t xml:space="preserve"> са око 215.00 становника  и највећим бројем стамбених и пословних зграда спроводи инспекцијски надзор на територији општине Нови Београд и организована је на принципу територијалне поделе терена по бло</w:t>
      </w:r>
      <w:r>
        <w:rPr>
          <w:rFonts w:cs="Calibri"/>
          <w:sz w:val="24"/>
          <w:szCs w:val="24"/>
          <w:lang w:val="sr-Cyrl-CS"/>
        </w:rPr>
        <w:t>ковима или улицама за сваку календарску годину. Комунални инспектори обављају послове инспекцијског надзора свакодневно, повремено ноћу због контроле буке из станова  док су током недеље и викендом организована дежурства ради спречавања бесправне продаје и</w:t>
      </w:r>
      <w:r>
        <w:rPr>
          <w:rFonts w:cs="Calibri"/>
          <w:sz w:val="24"/>
          <w:szCs w:val="24"/>
          <w:lang w:val="sr-Cyrl-CS"/>
        </w:rPr>
        <w:t xml:space="preserve">ли хитних поступања. Одсек комуналне инспекције располаже са четири службена возила, а за потребе рада комуналних инспектора обезбеђено је укупно 15 рачунара.  Сваки инспектор има фотоапарат и мобилни телефон. У 2019. години још увек није уведен  </w:t>
      </w:r>
      <w:r>
        <w:rPr>
          <w:rFonts w:eastAsia="Times New Roman" w:cs="Calibri"/>
          <w:sz w:val="24"/>
          <w:szCs w:val="24"/>
        </w:rPr>
        <w:t>информаци</w:t>
      </w:r>
      <w:r>
        <w:rPr>
          <w:rFonts w:eastAsia="Times New Roman" w:cs="Calibri"/>
          <w:sz w:val="24"/>
          <w:szCs w:val="24"/>
        </w:rPr>
        <w:t>они систем за електронске евиденције инспекцијског надзора</w:t>
      </w:r>
      <w:r>
        <w:rPr>
          <w:rFonts w:eastAsia="Times New Roman" w:cs="Calibri"/>
          <w:sz w:val="24"/>
          <w:szCs w:val="24"/>
          <w:lang/>
        </w:rPr>
        <w:t xml:space="preserve"> </w:t>
      </w:r>
      <w:r>
        <w:rPr>
          <w:rFonts w:eastAsia="Times New Roman" w:cs="Calibri"/>
          <w:sz w:val="24"/>
          <w:szCs w:val="24"/>
        </w:rPr>
        <w:t>у складу са захте</w:t>
      </w:r>
      <w:r>
        <w:rPr>
          <w:rFonts w:eastAsia="Times New Roman" w:cs="Calibri"/>
          <w:sz w:val="24"/>
          <w:szCs w:val="24"/>
          <w:lang/>
        </w:rPr>
        <w:t xml:space="preserve">вима 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lastRenderedPageBreak/>
        <w:t xml:space="preserve">Закона о инспекцијском </w:t>
      </w:r>
      <w:r>
        <w:rPr>
          <w:rFonts w:eastAsia="Times New Roman" w:cs="Calibri"/>
          <w:sz w:val="24"/>
          <w:szCs w:val="24"/>
          <w:lang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надзору, што </w:t>
      </w:r>
      <w:r>
        <w:rPr>
          <w:rFonts w:eastAsia="Times New Roman" w:cs="Calibri"/>
          <w:sz w:val="24"/>
          <w:szCs w:val="24"/>
          <w:lang/>
        </w:rPr>
        <w:t xml:space="preserve">би </w:t>
      </w:r>
      <w:r>
        <w:rPr>
          <w:rFonts w:eastAsia="Times New Roman" w:cs="Calibri"/>
          <w:sz w:val="24"/>
          <w:szCs w:val="24"/>
        </w:rPr>
        <w:t xml:space="preserve"> омогућ</w:t>
      </w:r>
      <w:r>
        <w:rPr>
          <w:rFonts w:eastAsia="Times New Roman" w:cs="Calibri"/>
          <w:sz w:val="24"/>
          <w:szCs w:val="24"/>
          <w:lang/>
        </w:rPr>
        <w:t xml:space="preserve">ило бољу  </w:t>
      </w:r>
      <w:r>
        <w:rPr>
          <w:rFonts w:eastAsia="Times New Roman" w:cs="Calibri"/>
          <w:sz w:val="24"/>
          <w:szCs w:val="24"/>
        </w:rPr>
        <w:t>анализу, праћење и упоређивање резултата</w:t>
      </w:r>
      <w:r>
        <w:rPr>
          <w:rFonts w:eastAsia="Times New Roman" w:cs="Calibri"/>
          <w:sz w:val="24"/>
          <w:szCs w:val="24"/>
          <w:lang/>
        </w:rPr>
        <w:t xml:space="preserve"> рада комуналних инспектора.</w:t>
      </w:r>
    </w:p>
    <w:p w:rsidR="00000000" w:rsidRDefault="005D307E">
      <w:pPr>
        <w:tabs>
          <w:tab w:val="left" w:pos="1440"/>
        </w:tabs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 xml:space="preserve">                                       </w:t>
      </w:r>
    </w:p>
    <w:p w:rsidR="00000000" w:rsidRDefault="005D307E">
      <w:pPr>
        <w:tabs>
          <w:tab w:val="left" w:pos="1440"/>
        </w:tabs>
        <w:rPr>
          <w:rFonts w:cs="Calibri"/>
          <w:sz w:val="24"/>
          <w:szCs w:val="24"/>
          <w:lang w:val="sr-Cyrl-CS"/>
        </w:rPr>
      </w:pPr>
      <w:r>
        <w:rPr>
          <w:rFonts w:cs="Calibri"/>
          <w:b/>
          <w:sz w:val="24"/>
          <w:szCs w:val="24"/>
          <w:lang/>
        </w:rPr>
        <w:t xml:space="preserve">        </w:t>
      </w:r>
      <w:r>
        <w:rPr>
          <w:rFonts w:cs="Calibri"/>
          <w:b/>
          <w:sz w:val="24"/>
          <w:szCs w:val="24"/>
          <w:lang/>
        </w:rPr>
        <w:t xml:space="preserve">                                                                      Општи показатељи</w:t>
      </w:r>
    </w:p>
    <w:p w:rsidR="00000000" w:rsidRDefault="005D307E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  <w:lang/>
        </w:rPr>
        <w:t xml:space="preserve">У извештајној години  отворен је  укупно </w:t>
      </w:r>
      <w:r>
        <w:rPr>
          <w:rFonts w:cs="Calibri"/>
          <w:b/>
          <w:sz w:val="24"/>
          <w:szCs w:val="24"/>
        </w:rPr>
        <w:t>3631</w:t>
      </w:r>
      <w:r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b/>
          <w:sz w:val="24"/>
          <w:szCs w:val="24"/>
        </w:rPr>
        <w:t>предмет</w:t>
      </w:r>
      <w:r>
        <w:rPr>
          <w:rFonts w:cs="Calibri"/>
          <w:sz w:val="24"/>
          <w:szCs w:val="24"/>
        </w:rPr>
        <w:t xml:space="preserve"> од чега</w:t>
      </w:r>
      <w:r>
        <w:rPr>
          <w:rFonts w:cs="Calibri"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 xml:space="preserve">3453 управних </w:t>
      </w:r>
      <w:r>
        <w:rPr>
          <w:b/>
          <w:sz w:val="24"/>
          <w:szCs w:val="24"/>
          <w:lang/>
        </w:rPr>
        <w:t xml:space="preserve">и </w:t>
      </w:r>
      <w:r>
        <w:rPr>
          <w:b/>
          <w:sz w:val="24"/>
          <w:szCs w:val="24"/>
        </w:rPr>
        <w:t>178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>вануправних 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Од у</w:t>
      </w:r>
      <w:r>
        <w:rPr>
          <w:sz w:val="24"/>
          <w:szCs w:val="24"/>
        </w:rPr>
        <w:t>куп</w:t>
      </w:r>
      <w:r>
        <w:rPr>
          <w:sz w:val="24"/>
          <w:szCs w:val="24"/>
          <w:lang/>
        </w:rPr>
        <w:t>но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6349 </w:t>
      </w:r>
      <w:r>
        <w:rPr>
          <w:b/>
          <w:sz w:val="24"/>
          <w:szCs w:val="24"/>
          <w:lang/>
        </w:rPr>
        <w:t xml:space="preserve">представки </w:t>
      </w:r>
      <w:r>
        <w:rPr>
          <w:b/>
          <w:sz w:val="24"/>
          <w:szCs w:val="24"/>
        </w:rPr>
        <w:t>4871</w:t>
      </w:r>
      <w:r>
        <w:rPr>
          <w:sz w:val="24"/>
          <w:szCs w:val="24"/>
        </w:rPr>
        <w:t xml:space="preserve"> je</w:t>
      </w:r>
      <w:r>
        <w:rPr>
          <w:sz w:val="24"/>
          <w:szCs w:val="24"/>
          <w:lang/>
        </w:rPr>
        <w:t xml:space="preserve"> поднет</w:t>
      </w:r>
      <w:r>
        <w:rPr>
          <w:sz w:val="24"/>
          <w:szCs w:val="24"/>
        </w:rPr>
        <w:t>a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електронск</w:t>
      </w:r>
      <w:r>
        <w:rPr>
          <w:sz w:val="24"/>
          <w:szCs w:val="24"/>
          <w:lang/>
        </w:rPr>
        <w:t xml:space="preserve">и путем ( </w:t>
      </w:r>
      <w:r>
        <w:rPr>
          <w:sz w:val="24"/>
          <w:szCs w:val="24"/>
        </w:rPr>
        <w:t xml:space="preserve"> мејл</w:t>
      </w:r>
      <w:r>
        <w:rPr>
          <w:sz w:val="24"/>
          <w:szCs w:val="24"/>
          <w:lang/>
        </w:rPr>
        <w:t>ом</w:t>
      </w:r>
      <w:r>
        <w:rPr>
          <w:sz w:val="24"/>
          <w:szCs w:val="24"/>
        </w:rPr>
        <w:t>, п</w:t>
      </w:r>
      <w:r>
        <w:rPr>
          <w:sz w:val="24"/>
          <w:szCs w:val="24"/>
        </w:rPr>
        <w:t xml:space="preserve">реко Сервисног центра Е-управе </w:t>
      </w:r>
      <w:r>
        <w:rPr>
          <w:sz w:val="24"/>
          <w:szCs w:val="24"/>
          <w:lang/>
        </w:rPr>
        <w:t>,</w:t>
      </w:r>
      <w:r>
        <w:rPr>
          <w:sz w:val="24"/>
          <w:szCs w:val="24"/>
        </w:rPr>
        <w:t xml:space="preserve"> Беоком</w:t>
      </w:r>
      <w:r>
        <w:rPr>
          <w:sz w:val="24"/>
          <w:szCs w:val="24"/>
          <w:lang/>
        </w:rPr>
        <w:t>а, Твитера и портала Тим моја иницијатива),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107 п</w:t>
      </w:r>
      <w:r>
        <w:rPr>
          <w:sz w:val="24"/>
          <w:szCs w:val="24"/>
        </w:rPr>
        <w:t>ријава</w:t>
      </w:r>
      <w:r>
        <w:rPr>
          <w:sz w:val="24"/>
          <w:szCs w:val="24"/>
          <w:lang/>
        </w:rPr>
        <w:t xml:space="preserve"> лично</w:t>
      </w:r>
      <w:r>
        <w:rPr>
          <w:sz w:val="24"/>
          <w:szCs w:val="24"/>
        </w:rPr>
        <w:t xml:space="preserve"> преко Кабинета грађана и</w:t>
      </w:r>
      <w:r>
        <w:rPr>
          <w:sz w:val="24"/>
          <w:szCs w:val="24"/>
          <w:lang/>
        </w:rPr>
        <w:t>ли</w:t>
      </w:r>
      <w:r>
        <w:rPr>
          <w:sz w:val="24"/>
          <w:szCs w:val="24"/>
        </w:rPr>
        <w:t xml:space="preserve"> телефон</w:t>
      </w:r>
      <w:r>
        <w:rPr>
          <w:sz w:val="24"/>
          <w:szCs w:val="24"/>
          <w:lang/>
        </w:rPr>
        <w:t>ом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1371 п</w:t>
      </w:r>
      <w:r>
        <w:rPr>
          <w:sz w:val="24"/>
          <w:szCs w:val="24"/>
        </w:rPr>
        <w:t xml:space="preserve">ријава </w:t>
      </w:r>
      <w:r>
        <w:rPr>
          <w:sz w:val="24"/>
          <w:szCs w:val="24"/>
          <w:lang/>
        </w:rPr>
        <w:t>достављен</w:t>
      </w:r>
      <w:r>
        <w:rPr>
          <w:sz w:val="24"/>
          <w:szCs w:val="24"/>
        </w:rPr>
        <w:t>a</w:t>
      </w:r>
      <w:r>
        <w:rPr>
          <w:sz w:val="24"/>
          <w:szCs w:val="24"/>
          <w:lang/>
        </w:rPr>
        <w:t xml:space="preserve"> је  </w:t>
      </w:r>
      <w:r>
        <w:rPr>
          <w:sz w:val="24"/>
          <w:szCs w:val="24"/>
        </w:rPr>
        <w:t>преко писарнице</w:t>
      </w:r>
      <w:r>
        <w:rPr>
          <w:sz w:val="24"/>
          <w:szCs w:val="24"/>
          <w:lang/>
        </w:rPr>
        <w:t xml:space="preserve"> . Укупно је донето </w:t>
      </w:r>
      <w:r>
        <w:rPr>
          <w:b/>
          <w:sz w:val="24"/>
          <w:szCs w:val="24"/>
        </w:rPr>
        <w:t>470</w:t>
      </w:r>
      <w:r>
        <w:rPr>
          <w:sz w:val="24"/>
          <w:szCs w:val="24"/>
          <w:lang/>
        </w:rPr>
        <w:t xml:space="preserve"> решења и то највише за уклањање башти угоститељск</w:t>
      </w:r>
      <w:r>
        <w:rPr>
          <w:sz w:val="24"/>
          <w:szCs w:val="24"/>
          <w:lang/>
        </w:rPr>
        <w:t>их објеката постављених без одобрења надлежног органа,  за у</w:t>
      </w:r>
      <w:r>
        <w:rPr>
          <w:sz w:val="24"/>
          <w:szCs w:val="24"/>
        </w:rPr>
        <w:t>к</w:t>
      </w:r>
      <w:r>
        <w:rPr>
          <w:sz w:val="24"/>
          <w:szCs w:val="24"/>
          <w:lang/>
        </w:rPr>
        <w:t>лањање средстава за оглашавање, успостављање комуналног реда и поштовање одредби Закона о становању и одржавању зграда.</w:t>
      </w:r>
    </w:p>
    <w:p w:rsidR="00000000" w:rsidRDefault="005D307E">
      <w:pPr>
        <w:spacing w:after="0" w:line="240" w:lineRule="auto"/>
      </w:pPr>
    </w:p>
    <w:p w:rsidR="00000000" w:rsidRDefault="003B4EA7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3983092" cy="2973016"/>
            <wp:effectExtent l="10713" t="5692" r="6695" b="712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Default="005D307E">
      <w:pPr>
        <w:spacing w:after="0" w:line="240" w:lineRule="auto"/>
      </w:pPr>
    </w:p>
    <w:p w:rsidR="00000000" w:rsidRDefault="003B4EA7">
      <w:pPr>
        <w:spacing w:after="0" w:line="240" w:lineRule="auto"/>
        <w:jc w:val="center"/>
        <w:rPr>
          <w:lang/>
        </w:rPr>
      </w:pPr>
      <w:r>
        <w:rPr>
          <w:noProof/>
          <w:lang w:eastAsia="en-US"/>
        </w:rPr>
        <w:drawing>
          <wp:inline distT="0" distB="0" distL="0" distR="0">
            <wp:extent cx="4007334" cy="2258128"/>
            <wp:effectExtent l="10684" t="5012" r="5342" b="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000" w:rsidRDefault="005D307E">
      <w:pPr>
        <w:spacing w:after="0" w:line="240" w:lineRule="auto"/>
        <w:jc w:val="center"/>
        <w:rPr>
          <w:lang w:eastAsia="en-US"/>
        </w:rPr>
      </w:pP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spacing w:after="0" w:line="240" w:lineRule="auto"/>
        <w:jc w:val="center"/>
        <w:rPr>
          <w:lang/>
        </w:rPr>
      </w:pP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pStyle w:val="Default"/>
        <w:ind w:firstLine="720"/>
        <w:jc w:val="both"/>
        <w:rPr>
          <w:rFonts w:ascii="Calibri" w:hAnsi="Calibri" w:cs="Calibri"/>
          <w:color w:val="auto"/>
          <w:lang/>
        </w:rPr>
      </w:pP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</w:rPr>
        <w:t>У складу са одредбама За</w:t>
      </w:r>
      <w:r>
        <w:rPr>
          <w:rFonts w:ascii="Calibri" w:hAnsi="Calibri" w:cs="Calibri"/>
          <w:lang/>
        </w:rPr>
        <w:t>к</w:t>
      </w:r>
      <w:r>
        <w:rPr>
          <w:rFonts w:ascii="Calibri" w:hAnsi="Calibri" w:cs="Calibri"/>
        </w:rPr>
        <w:t xml:space="preserve">она о инспекцијском надзору </w:t>
      </w:r>
      <w:r>
        <w:rPr>
          <w:rFonts w:ascii="Calibri" w:hAnsi="Calibri" w:cs="Calibri"/>
          <w:lang/>
        </w:rPr>
        <w:t xml:space="preserve"> , комунал</w:t>
      </w:r>
      <w:r>
        <w:rPr>
          <w:rFonts w:ascii="Calibri" w:hAnsi="Calibri" w:cs="Calibri"/>
          <w:lang/>
        </w:rPr>
        <w:t xml:space="preserve">на инспекција донела је План инспекцијског надзора за 2020. годину и објавила све нове  прописе по којима поступа општинска комунална инспекција на својој веб страници. 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jc w:val="center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Показатељи делотворности</w:t>
      </w:r>
    </w:p>
    <w:p w:rsidR="00000000" w:rsidRDefault="005D307E">
      <w:pPr>
        <w:spacing w:after="0" w:line="240" w:lineRule="auto"/>
        <w:jc w:val="center"/>
        <w:rPr>
          <w:rFonts w:cs="Calibri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>Превентивно деловање и обавештавање јавности</w:t>
      </w:r>
    </w:p>
    <w:p w:rsidR="00000000" w:rsidRDefault="005D30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</w:p>
    <w:p w:rsidR="00000000" w:rsidRDefault="005D307E">
      <w:pPr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Како ј</w:t>
      </w:r>
      <w:r>
        <w:rPr>
          <w:rFonts w:cs="Calibri"/>
          <w:sz w:val="24"/>
          <w:szCs w:val="24"/>
        </w:rPr>
        <w:t>едно од</w:t>
      </w:r>
      <w:r>
        <w:rPr>
          <w:rFonts w:cs="Calibri"/>
          <w:sz w:val="24"/>
          <w:szCs w:val="24"/>
        </w:rPr>
        <w:t xml:space="preserve"> средстава остварења циља инспекцијског надзора представља </w:t>
      </w:r>
      <w:r>
        <w:rPr>
          <w:rFonts w:cs="Calibri"/>
          <w:sz w:val="24"/>
          <w:szCs w:val="24"/>
          <w:lang/>
        </w:rPr>
        <w:t xml:space="preserve">и </w:t>
      </w:r>
      <w:r>
        <w:rPr>
          <w:rFonts w:cs="Calibri"/>
          <w:sz w:val="24"/>
          <w:szCs w:val="24"/>
        </w:rPr>
        <w:t>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</w:t>
      </w:r>
      <w:r>
        <w:rPr>
          <w:rFonts w:cs="Calibri"/>
          <w:sz w:val="24"/>
          <w:szCs w:val="24"/>
        </w:rPr>
        <w:t xml:space="preserve"> прописа, давање предлога, покретање иницијатива, упућивање дописа са препорукама и сл</w:t>
      </w:r>
      <w:r>
        <w:rPr>
          <w:rFonts w:cs="Calibri"/>
          <w:sz w:val="24"/>
          <w:szCs w:val="24"/>
          <w:lang/>
        </w:rPr>
        <w:t xml:space="preserve">ично, а чиме се </w:t>
      </w:r>
      <w:r>
        <w:rPr>
          <w:rFonts w:cs="Calibri"/>
          <w:sz w:val="24"/>
          <w:szCs w:val="24"/>
        </w:rPr>
        <w:t>подстиче</w:t>
      </w:r>
      <w:r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</w:rPr>
        <w:t>правилност, исправност, уредност, безбедност и редовност у</w:t>
      </w:r>
      <w:r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</w:rPr>
        <w:t>испуњавању обавеза</w:t>
      </w:r>
      <w:r>
        <w:rPr>
          <w:rFonts w:cs="Calibri"/>
          <w:sz w:val="24"/>
          <w:szCs w:val="24"/>
          <w:lang/>
        </w:rPr>
        <w:t xml:space="preserve">, комунална инспекција је у току 2019. године  на порталу </w:t>
      </w:r>
      <w:hyperlink r:id="rId8" w:history="1">
        <w:r>
          <w:rPr>
            <w:rStyle w:val="Hyperlink"/>
            <w:rFonts w:cs="Calibri"/>
            <w:sz w:val="24"/>
            <w:szCs w:val="24"/>
          </w:rPr>
          <w:t>http://novibeograd.rs/lokalna-</w:t>
        </w:r>
        <w:bookmarkStart w:id="0" w:name="_Hlt468005359"/>
        <w:bookmarkStart w:id="1" w:name="_Hlt468005360"/>
        <w:bookmarkEnd w:id="0"/>
        <w:bookmarkEnd w:id="1"/>
        <w:r>
          <w:rPr>
            <w:rStyle w:val="Hyperlink"/>
            <w:rFonts w:cs="Calibri"/>
            <w:sz w:val="24"/>
            <w:szCs w:val="24"/>
          </w:rPr>
          <w:t>samouprava/uprava-gradske-opstine-novi-beograd/odeljenje-za-inspekcijske-poslove</w:t>
        </w:r>
      </w:hyperlink>
      <w:r>
        <w:rPr>
          <w:rFonts w:cs="Calibri"/>
          <w:sz w:val="24"/>
          <w:szCs w:val="24"/>
          <w:lang/>
        </w:rPr>
        <w:t xml:space="preserve">  објавила контролне листе , пр</w:t>
      </w:r>
      <w:r>
        <w:rPr>
          <w:rFonts w:cs="Calibri"/>
          <w:sz w:val="24"/>
          <w:szCs w:val="24"/>
          <w:lang/>
        </w:rPr>
        <w:t xml:space="preserve">описе по којима поступа, извештаје и планове рада. Кроз услуге Кабинета грађана и Сервисног центра (Тел. </w:t>
      </w:r>
      <w:r>
        <w:rPr>
          <w:rStyle w:val="Strong"/>
          <w:rFonts w:cs="Calibri"/>
          <w:b w:val="0"/>
          <w:sz w:val="24"/>
          <w:szCs w:val="24"/>
        </w:rPr>
        <w:t>785 0 785</w:t>
      </w:r>
      <w:r>
        <w:rPr>
          <w:rFonts w:cs="Calibri"/>
          <w:sz w:val="24"/>
          <w:szCs w:val="24"/>
          <w:lang/>
        </w:rPr>
        <w:t xml:space="preserve"> ,</w:t>
      </w:r>
      <w:r>
        <w:rPr>
          <w:rFonts w:cs="Calibri"/>
          <w:sz w:val="24"/>
          <w:szCs w:val="24"/>
        </w:rPr>
        <w:t xml:space="preserve"> мејл  </w:t>
      </w:r>
      <w:hyperlink r:id="rId9" w:history="1">
        <w:r>
          <w:rPr>
            <w:rStyle w:val="Hyperlink"/>
            <w:rFonts w:cs="Calibri"/>
            <w:sz w:val="24"/>
            <w:szCs w:val="24"/>
          </w:rPr>
          <w:t>servisnicentar@novibeograd.rs</w:t>
        </w:r>
      </w:hyperlink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>) грађани могу</w:t>
      </w:r>
      <w:r>
        <w:rPr>
          <w:rFonts w:cs="Calibri"/>
          <w:sz w:val="24"/>
          <w:szCs w:val="24"/>
        </w:rPr>
        <w:t xml:space="preserve"> доби</w:t>
      </w:r>
      <w:r>
        <w:rPr>
          <w:rFonts w:cs="Calibri"/>
          <w:sz w:val="24"/>
          <w:szCs w:val="24"/>
          <w:lang/>
        </w:rPr>
        <w:t>ти</w:t>
      </w:r>
      <w:r>
        <w:rPr>
          <w:rFonts w:cs="Calibri"/>
          <w:sz w:val="24"/>
          <w:szCs w:val="24"/>
        </w:rPr>
        <w:t xml:space="preserve"> одговор</w:t>
      </w:r>
      <w:r>
        <w:rPr>
          <w:rFonts w:cs="Calibri"/>
          <w:sz w:val="24"/>
          <w:szCs w:val="24"/>
          <w:lang/>
        </w:rPr>
        <w:t>е</w:t>
      </w:r>
      <w:r>
        <w:rPr>
          <w:rFonts w:cs="Calibri"/>
          <w:sz w:val="24"/>
          <w:szCs w:val="24"/>
        </w:rPr>
        <w:t xml:space="preserve"> на </w:t>
      </w:r>
      <w:r>
        <w:rPr>
          <w:rFonts w:cs="Calibri"/>
          <w:sz w:val="24"/>
          <w:szCs w:val="24"/>
          <w:lang/>
        </w:rPr>
        <w:t>разна</w:t>
      </w:r>
      <w:r>
        <w:rPr>
          <w:rFonts w:cs="Calibri"/>
          <w:sz w:val="24"/>
          <w:szCs w:val="24"/>
        </w:rPr>
        <w:t xml:space="preserve"> питања, пр</w:t>
      </w:r>
      <w:r>
        <w:rPr>
          <w:rFonts w:cs="Calibri"/>
          <w:sz w:val="24"/>
          <w:szCs w:val="24"/>
        </w:rPr>
        <w:t>едлож</w:t>
      </w:r>
      <w:r>
        <w:rPr>
          <w:rFonts w:cs="Calibri"/>
          <w:sz w:val="24"/>
          <w:szCs w:val="24"/>
          <w:lang/>
        </w:rPr>
        <w:t xml:space="preserve">ити </w:t>
      </w:r>
      <w:r>
        <w:rPr>
          <w:rFonts w:cs="Calibri"/>
          <w:sz w:val="24"/>
          <w:szCs w:val="24"/>
        </w:rPr>
        <w:t>решења</w:t>
      </w:r>
      <w:r>
        <w:rPr>
          <w:rFonts w:cs="Calibri"/>
          <w:sz w:val="24"/>
          <w:szCs w:val="24"/>
          <w:lang/>
        </w:rPr>
        <w:t>, идеје, поднети пријаву  или ставити примедбе.  У циљу законитости поступања и</w:t>
      </w:r>
      <w:r>
        <w:rPr>
          <w:rFonts w:cs="Calibri"/>
          <w:sz w:val="24"/>
          <w:szCs w:val="24"/>
        </w:rPr>
        <w:t xml:space="preserve"> пословањ</w:t>
      </w:r>
      <w:r>
        <w:rPr>
          <w:rFonts w:cs="Calibri"/>
          <w:sz w:val="24"/>
          <w:szCs w:val="24"/>
          <w:lang/>
        </w:rPr>
        <w:t>а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 xml:space="preserve">извршено је </w:t>
      </w:r>
      <w:r>
        <w:rPr>
          <w:rFonts w:cs="Calibri"/>
          <w:sz w:val="24"/>
          <w:szCs w:val="24"/>
        </w:rPr>
        <w:t>264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>превентивних надзора у области примене Закона и становању и одржавању зграда  као и Одлуке о оглашавању на територији града Београда  и</w:t>
      </w:r>
      <w:r>
        <w:rPr>
          <w:rFonts w:cs="Calibri"/>
          <w:sz w:val="24"/>
          <w:szCs w:val="24"/>
          <w:lang/>
        </w:rPr>
        <w:t xml:space="preserve"> кој</w:t>
      </w:r>
      <w:r>
        <w:rPr>
          <w:rFonts w:cs="Calibri"/>
          <w:sz w:val="24"/>
          <w:szCs w:val="24"/>
          <w:lang/>
        </w:rPr>
        <w:t>и</w:t>
      </w:r>
      <w:r>
        <w:rPr>
          <w:rFonts w:cs="Calibri"/>
          <w:sz w:val="24"/>
          <w:szCs w:val="24"/>
          <w:lang/>
        </w:rPr>
        <w:t>ма је обухваћено и дељење обавештења о обавези подношења захтева за издавање одобрења за постављање средстава за оглашавање како на јавним тако и на другим површинама.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eastAsia="Cambria" w:cs="Cambria"/>
          <w:sz w:val="24"/>
          <w:szCs w:val="24"/>
        </w:rPr>
        <w:t xml:space="preserve"> Треба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pacing w:val="-1"/>
          <w:sz w:val="24"/>
          <w:szCs w:val="24"/>
        </w:rPr>
        <w:t>у</w:t>
      </w:r>
      <w:r>
        <w:rPr>
          <w:rFonts w:eastAsia="Cambria" w:cs="Cambria"/>
          <w:sz w:val="24"/>
          <w:szCs w:val="24"/>
        </w:rPr>
        <w:t>з</w:t>
      </w:r>
      <w:r>
        <w:rPr>
          <w:rFonts w:eastAsia="Cambria" w:cs="Cambria"/>
          <w:spacing w:val="1"/>
          <w:sz w:val="24"/>
          <w:szCs w:val="24"/>
        </w:rPr>
        <w:t>е</w:t>
      </w:r>
      <w:r>
        <w:rPr>
          <w:rFonts w:eastAsia="Cambria" w:cs="Cambria"/>
          <w:sz w:val="24"/>
          <w:szCs w:val="24"/>
        </w:rPr>
        <w:t>ти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у обзир</w:t>
      </w:r>
      <w:r>
        <w:rPr>
          <w:rFonts w:eastAsia="Cambria" w:cs="Cambria"/>
          <w:spacing w:val="2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и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да</w:t>
      </w:r>
      <w:r>
        <w:rPr>
          <w:rFonts w:eastAsia="Cambria" w:cs="Cambria"/>
          <w:spacing w:val="2"/>
          <w:sz w:val="24"/>
          <w:szCs w:val="24"/>
        </w:rPr>
        <w:t xml:space="preserve"> </w:t>
      </w:r>
      <w:r>
        <w:rPr>
          <w:rFonts w:eastAsia="Cambria" w:cs="Cambria"/>
          <w:spacing w:val="1"/>
          <w:sz w:val="24"/>
          <w:szCs w:val="24"/>
        </w:rPr>
        <w:t>ј</w:t>
      </w:r>
      <w:r>
        <w:rPr>
          <w:rFonts w:eastAsia="Cambria" w:cs="Cambria"/>
          <w:sz w:val="24"/>
          <w:szCs w:val="24"/>
        </w:rPr>
        <w:t>е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код но</w:t>
      </w:r>
      <w:r>
        <w:rPr>
          <w:rFonts w:eastAsia="Cambria" w:cs="Cambria"/>
          <w:spacing w:val="-1"/>
          <w:sz w:val="24"/>
          <w:szCs w:val="24"/>
        </w:rPr>
        <w:t>в</w:t>
      </w:r>
      <w:r>
        <w:rPr>
          <w:rFonts w:eastAsia="Cambria" w:cs="Cambria"/>
          <w:sz w:val="24"/>
          <w:szCs w:val="24"/>
        </w:rPr>
        <w:t>оо</w:t>
      </w:r>
      <w:r>
        <w:rPr>
          <w:rFonts w:eastAsia="Cambria" w:cs="Cambria"/>
          <w:spacing w:val="-1"/>
          <w:sz w:val="24"/>
          <w:szCs w:val="24"/>
        </w:rPr>
        <w:t>с</w:t>
      </w:r>
      <w:r>
        <w:rPr>
          <w:rFonts w:eastAsia="Cambria" w:cs="Cambria"/>
          <w:sz w:val="24"/>
          <w:szCs w:val="24"/>
        </w:rPr>
        <w:t>но</w:t>
      </w:r>
      <w:r>
        <w:rPr>
          <w:rFonts w:eastAsia="Cambria" w:cs="Cambria"/>
          <w:spacing w:val="-1"/>
          <w:sz w:val="24"/>
          <w:szCs w:val="24"/>
        </w:rPr>
        <w:t>в</w:t>
      </w:r>
      <w:r>
        <w:rPr>
          <w:rFonts w:eastAsia="Cambria" w:cs="Cambria"/>
          <w:sz w:val="24"/>
          <w:szCs w:val="24"/>
        </w:rPr>
        <w:t>аних п</w:t>
      </w:r>
      <w:r>
        <w:rPr>
          <w:rFonts w:eastAsia="Cambria" w:cs="Cambria"/>
          <w:spacing w:val="1"/>
          <w:sz w:val="24"/>
          <w:szCs w:val="24"/>
        </w:rPr>
        <w:t>р</w:t>
      </w:r>
      <w:r>
        <w:rPr>
          <w:rFonts w:eastAsia="Cambria" w:cs="Cambria"/>
          <w:sz w:val="24"/>
          <w:szCs w:val="24"/>
        </w:rPr>
        <w:t>ивредних с</w:t>
      </w:r>
      <w:r>
        <w:rPr>
          <w:rFonts w:eastAsia="Cambria" w:cs="Cambria"/>
          <w:spacing w:val="-1"/>
          <w:sz w:val="24"/>
          <w:szCs w:val="24"/>
        </w:rPr>
        <w:t>у</w:t>
      </w:r>
      <w:r>
        <w:rPr>
          <w:rFonts w:eastAsia="Cambria" w:cs="Cambria"/>
          <w:sz w:val="24"/>
          <w:szCs w:val="24"/>
        </w:rPr>
        <w:t>бјек</w:t>
      </w:r>
      <w:r>
        <w:rPr>
          <w:rFonts w:eastAsia="Cambria" w:cs="Cambria"/>
          <w:spacing w:val="1"/>
          <w:sz w:val="24"/>
          <w:szCs w:val="24"/>
        </w:rPr>
        <w:t>а</w:t>
      </w:r>
      <w:r>
        <w:rPr>
          <w:rFonts w:eastAsia="Cambria" w:cs="Cambria"/>
          <w:sz w:val="24"/>
          <w:szCs w:val="24"/>
        </w:rPr>
        <w:t>та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к</w:t>
      </w:r>
      <w:r>
        <w:rPr>
          <w:rFonts w:eastAsia="Cambria" w:cs="Cambria"/>
          <w:spacing w:val="1"/>
          <w:sz w:val="24"/>
          <w:szCs w:val="24"/>
        </w:rPr>
        <w:t>р</w:t>
      </w:r>
      <w:r>
        <w:rPr>
          <w:rFonts w:eastAsia="Cambria" w:cs="Cambria"/>
          <w:sz w:val="24"/>
          <w:szCs w:val="24"/>
        </w:rPr>
        <w:t>ш</w:t>
      </w:r>
      <w:r>
        <w:rPr>
          <w:rFonts w:eastAsia="Cambria" w:cs="Cambria"/>
          <w:spacing w:val="-2"/>
          <w:sz w:val="24"/>
          <w:szCs w:val="24"/>
        </w:rPr>
        <w:t>е</w:t>
      </w:r>
      <w:r>
        <w:rPr>
          <w:rFonts w:eastAsia="Cambria" w:cs="Cambria"/>
          <w:sz w:val="24"/>
          <w:szCs w:val="24"/>
        </w:rPr>
        <w:t>ње</w:t>
      </w:r>
      <w:r>
        <w:rPr>
          <w:rFonts w:eastAsia="Cambria" w:cs="Cambria"/>
          <w:spacing w:val="6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п</w:t>
      </w:r>
      <w:r>
        <w:rPr>
          <w:rFonts w:eastAsia="Cambria" w:cs="Cambria"/>
          <w:spacing w:val="1"/>
          <w:sz w:val="24"/>
          <w:szCs w:val="24"/>
        </w:rPr>
        <w:t>р</w:t>
      </w:r>
      <w:r>
        <w:rPr>
          <w:rFonts w:eastAsia="Cambria" w:cs="Cambria"/>
          <w:spacing w:val="-3"/>
          <w:sz w:val="24"/>
          <w:szCs w:val="24"/>
        </w:rPr>
        <w:t>о</w:t>
      </w:r>
      <w:r>
        <w:rPr>
          <w:rFonts w:eastAsia="Cambria" w:cs="Cambria"/>
          <w:sz w:val="24"/>
          <w:szCs w:val="24"/>
        </w:rPr>
        <w:t>писа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често по</w:t>
      </w:r>
      <w:r>
        <w:rPr>
          <w:rFonts w:eastAsia="Cambria" w:cs="Cambria"/>
          <w:spacing w:val="-3"/>
          <w:sz w:val="24"/>
          <w:szCs w:val="24"/>
        </w:rPr>
        <w:t>с</w:t>
      </w:r>
      <w:r>
        <w:rPr>
          <w:rFonts w:eastAsia="Cambria" w:cs="Cambria"/>
          <w:sz w:val="24"/>
          <w:szCs w:val="24"/>
        </w:rPr>
        <w:t>ле</w:t>
      </w:r>
      <w:r>
        <w:rPr>
          <w:rFonts w:eastAsia="Cambria" w:cs="Cambria"/>
          <w:spacing w:val="1"/>
          <w:sz w:val="24"/>
          <w:szCs w:val="24"/>
        </w:rPr>
        <w:t>д</w:t>
      </w:r>
      <w:r>
        <w:rPr>
          <w:rFonts w:eastAsia="Cambria" w:cs="Cambria"/>
          <w:sz w:val="24"/>
          <w:szCs w:val="24"/>
        </w:rPr>
        <w:t>ица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не</w:t>
      </w:r>
      <w:r>
        <w:rPr>
          <w:rFonts w:eastAsia="Cambria" w:cs="Cambria"/>
          <w:spacing w:val="-2"/>
          <w:sz w:val="24"/>
          <w:szCs w:val="24"/>
        </w:rPr>
        <w:t>з</w:t>
      </w:r>
      <w:r>
        <w:rPr>
          <w:rFonts w:eastAsia="Cambria" w:cs="Cambria"/>
          <w:sz w:val="24"/>
          <w:szCs w:val="24"/>
        </w:rPr>
        <w:t>нањ</w:t>
      </w:r>
      <w:r>
        <w:rPr>
          <w:rFonts w:eastAsia="Cambria" w:cs="Cambria"/>
          <w:spacing w:val="-1"/>
          <w:sz w:val="24"/>
          <w:szCs w:val="24"/>
        </w:rPr>
        <w:t>а</w:t>
      </w:r>
      <w:r>
        <w:rPr>
          <w:rFonts w:eastAsia="Cambria" w:cs="Cambria"/>
          <w:sz w:val="24"/>
          <w:szCs w:val="24"/>
        </w:rPr>
        <w:t>, не</w:t>
      </w:r>
      <w:r>
        <w:rPr>
          <w:rFonts w:eastAsia="Cambria" w:cs="Cambria"/>
          <w:spacing w:val="-1"/>
          <w:sz w:val="24"/>
          <w:szCs w:val="24"/>
        </w:rPr>
        <w:t>у</w:t>
      </w:r>
      <w:r>
        <w:rPr>
          <w:rFonts w:eastAsia="Cambria" w:cs="Cambria"/>
          <w:sz w:val="24"/>
          <w:szCs w:val="24"/>
        </w:rPr>
        <w:t>п</w:t>
      </w:r>
      <w:r>
        <w:rPr>
          <w:rFonts w:eastAsia="Cambria" w:cs="Cambria"/>
          <w:spacing w:val="-1"/>
          <w:sz w:val="24"/>
          <w:szCs w:val="24"/>
        </w:rPr>
        <w:t>у</w:t>
      </w:r>
      <w:r>
        <w:rPr>
          <w:rFonts w:eastAsia="Cambria" w:cs="Cambria"/>
          <w:sz w:val="24"/>
          <w:szCs w:val="24"/>
        </w:rPr>
        <w:t xml:space="preserve">ћености </w:t>
      </w:r>
      <w:r>
        <w:rPr>
          <w:rFonts w:eastAsia="Cambria" w:cs="Cambria"/>
          <w:spacing w:val="3"/>
          <w:sz w:val="24"/>
          <w:szCs w:val="24"/>
          <w:lang/>
        </w:rPr>
        <w:t>,</w:t>
      </w:r>
      <w:r>
        <w:rPr>
          <w:rFonts w:eastAsia="Cambria" w:cs="Cambria"/>
          <w:sz w:val="24"/>
          <w:szCs w:val="24"/>
        </w:rPr>
        <w:t>поче</w:t>
      </w:r>
      <w:r>
        <w:rPr>
          <w:rFonts w:eastAsia="Cambria" w:cs="Cambria"/>
          <w:spacing w:val="-3"/>
          <w:sz w:val="24"/>
          <w:szCs w:val="24"/>
        </w:rPr>
        <w:t>т</w:t>
      </w:r>
      <w:r>
        <w:rPr>
          <w:rFonts w:eastAsia="Cambria" w:cs="Cambria"/>
          <w:sz w:val="24"/>
          <w:szCs w:val="24"/>
        </w:rPr>
        <w:t>ничких г</w:t>
      </w:r>
      <w:r>
        <w:rPr>
          <w:rFonts w:eastAsia="Cambria" w:cs="Cambria"/>
          <w:spacing w:val="1"/>
          <w:sz w:val="24"/>
          <w:szCs w:val="24"/>
        </w:rPr>
        <w:t>р</w:t>
      </w:r>
      <w:r>
        <w:rPr>
          <w:rFonts w:eastAsia="Cambria" w:cs="Cambria"/>
          <w:sz w:val="24"/>
          <w:szCs w:val="24"/>
        </w:rPr>
        <w:t>ешака</w:t>
      </w:r>
      <w:r>
        <w:rPr>
          <w:rFonts w:eastAsia="Cambria" w:cs="Cambria"/>
          <w:spacing w:val="1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и п</w:t>
      </w:r>
      <w:r>
        <w:rPr>
          <w:rFonts w:eastAsia="Cambria" w:cs="Cambria"/>
          <w:spacing w:val="1"/>
          <w:sz w:val="24"/>
          <w:szCs w:val="24"/>
        </w:rPr>
        <w:t>р</w:t>
      </w:r>
      <w:r>
        <w:rPr>
          <w:rFonts w:eastAsia="Cambria" w:cs="Cambria"/>
          <w:spacing w:val="-3"/>
          <w:sz w:val="24"/>
          <w:szCs w:val="24"/>
        </w:rPr>
        <w:t>о</w:t>
      </w:r>
      <w:r>
        <w:rPr>
          <w:rFonts w:eastAsia="Cambria" w:cs="Cambria"/>
          <w:sz w:val="24"/>
          <w:szCs w:val="24"/>
        </w:rPr>
        <w:t>п</w:t>
      </w:r>
      <w:r>
        <w:rPr>
          <w:rFonts w:eastAsia="Cambria" w:cs="Cambria"/>
          <w:spacing w:val="-1"/>
          <w:sz w:val="24"/>
          <w:szCs w:val="24"/>
        </w:rPr>
        <w:t>у</w:t>
      </w:r>
      <w:r>
        <w:rPr>
          <w:rFonts w:eastAsia="Cambria" w:cs="Cambria"/>
          <w:sz w:val="24"/>
          <w:szCs w:val="24"/>
        </w:rPr>
        <w:t>ста</w:t>
      </w:r>
      <w:r>
        <w:rPr>
          <w:rFonts w:eastAsia="Cambria" w:cs="Cambria"/>
          <w:sz w:val="24"/>
          <w:szCs w:val="24"/>
          <w:lang/>
        </w:rPr>
        <w:t>,  а с друга стране измене одлука и других прописа захтевају и праворемено информисање надзираних субјеката о њиховим правима, обавезама или условима за прибављање одређених сагланости на</w:t>
      </w:r>
      <w:r>
        <w:rPr>
          <w:rFonts w:eastAsia="Cambria" w:cs="Cambria"/>
          <w:sz w:val="24"/>
          <w:szCs w:val="24"/>
          <w:lang/>
        </w:rPr>
        <w:t xml:space="preserve">длежних органа. </w:t>
      </w:r>
      <w:r>
        <w:rPr>
          <w:rFonts w:cs="Calibri"/>
          <w:sz w:val="24"/>
          <w:szCs w:val="24"/>
          <w:lang/>
        </w:rPr>
        <w:t>Поступајући по пријавама грађана везано за начин избора управника, трошкове одржавања  и коришћење заједничких просторија стамбених зграда као и примене одредби нових правила кућног реда у стамбеним и стамбено-пословним зградама, којих је у</w:t>
      </w:r>
      <w:r>
        <w:rPr>
          <w:rFonts w:cs="Calibri"/>
          <w:sz w:val="24"/>
          <w:szCs w:val="24"/>
          <w:lang/>
        </w:rPr>
        <w:t xml:space="preserve"> 2019 било </w:t>
      </w:r>
      <w:r>
        <w:rPr>
          <w:rFonts w:cs="Calibri"/>
          <w:b/>
          <w:sz w:val="24"/>
          <w:szCs w:val="24"/>
          <w:lang/>
        </w:rPr>
        <w:t>671,</w:t>
      </w:r>
      <w:r>
        <w:rPr>
          <w:rFonts w:cs="Calibri"/>
          <w:sz w:val="24"/>
          <w:szCs w:val="24"/>
          <w:lang/>
        </w:rPr>
        <w:t xml:space="preserve"> инспектори су поред инспекцијских надзора  обављали саветодавне и информативне разговоре и давали писмене и усмене препоруке и помагали при тумачењу појединих одредби закона. Стављањем  тежишта на информисање и разговор са грађанима показал</w:t>
      </w:r>
      <w:r>
        <w:rPr>
          <w:rFonts w:cs="Calibri"/>
          <w:sz w:val="24"/>
          <w:szCs w:val="24"/>
          <w:lang/>
        </w:rPr>
        <w:t xml:space="preserve">о се да се на тај начин  постижу бољи резултати и </w:t>
      </w:r>
      <w:r>
        <w:rPr>
          <w:rFonts w:cs="Calibri"/>
          <w:sz w:val="24"/>
          <w:szCs w:val="24"/>
        </w:rPr>
        <w:t xml:space="preserve">битно </w:t>
      </w:r>
      <w:r>
        <w:rPr>
          <w:rFonts w:cs="Calibri"/>
          <w:sz w:val="24"/>
          <w:szCs w:val="24"/>
          <w:lang/>
        </w:rPr>
        <w:t xml:space="preserve">утиче на </w:t>
      </w:r>
      <w:r>
        <w:rPr>
          <w:rFonts w:cs="Calibri"/>
          <w:sz w:val="24"/>
          <w:szCs w:val="24"/>
        </w:rPr>
        <w:t>смањ</w:t>
      </w:r>
      <w:r>
        <w:rPr>
          <w:rFonts w:cs="Calibri"/>
          <w:sz w:val="24"/>
          <w:szCs w:val="24"/>
          <w:lang/>
        </w:rPr>
        <w:t>ење</w:t>
      </w:r>
      <w:r>
        <w:rPr>
          <w:rFonts w:cs="Calibri"/>
          <w:sz w:val="24"/>
          <w:szCs w:val="24"/>
        </w:rPr>
        <w:t xml:space="preserve"> број</w:t>
      </w:r>
      <w:r>
        <w:rPr>
          <w:rFonts w:cs="Calibri"/>
          <w:sz w:val="24"/>
          <w:szCs w:val="24"/>
          <w:lang/>
        </w:rPr>
        <w:t>а</w:t>
      </w:r>
      <w:r>
        <w:rPr>
          <w:rFonts w:cs="Calibri"/>
          <w:sz w:val="24"/>
          <w:szCs w:val="24"/>
        </w:rPr>
        <w:t xml:space="preserve"> и тежин</w:t>
      </w:r>
      <w:r>
        <w:rPr>
          <w:rFonts w:cs="Calibri"/>
          <w:sz w:val="24"/>
          <w:szCs w:val="24"/>
          <w:lang/>
        </w:rPr>
        <w:t>е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>штетних последица. У поступцима  ванредних  инспекцијских  надзора по представкама грађана током летњег периода комунални инспектори у контакту са управницима или лепље</w:t>
      </w:r>
      <w:r>
        <w:rPr>
          <w:rFonts w:cs="Calibri"/>
          <w:sz w:val="24"/>
          <w:szCs w:val="24"/>
          <w:lang/>
        </w:rPr>
        <w:t xml:space="preserve">њем обавештења на улазе стамбених зграда, грађане  су упознали са одредбама одлуке о комуналном реду које се односе на недопуштено изливање кондезата из клима уређаја  чиме  је </w:t>
      </w:r>
      <w:r>
        <w:rPr>
          <w:rFonts w:cs="Calibri"/>
          <w:sz w:val="24"/>
          <w:szCs w:val="24"/>
          <w:lang/>
        </w:rPr>
        <w:lastRenderedPageBreak/>
        <w:t>постигнуто  остваривање циља, а поред тога нису морале бити предузимане друге н</w:t>
      </w:r>
      <w:r>
        <w:rPr>
          <w:rFonts w:cs="Calibri"/>
          <w:sz w:val="24"/>
          <w:szCs w:val="24"/>
          <w:lang/>
        </w:rPr>
        <w:t xml:space="preserve">аредбодавне и мере кажњавања. </w:t>
      </w:r>
    </w:p>
    <w:p w:rsidR="00000000" w:rsidRDefault="005D307E">
      <w:pPr>
        <w:spacing w:after="0" w:line="240" w:lineRule="auto"/>
        <w:rPr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eastAsia="Cambria,Bold" w:cs="Calibri"/>
          <w:b/>
          <w:bCs/>
          <w:sz w:val="24"/>
          <w:szCs w:val="24"/>
          <w:lang w:eastAsia="en-US"/>
        </w:rPr>
        <w:t>У</w:t>
      </w:r>
      <w:r>
        <w:rPr>
          <w:rFonts w:eastAsia="Cambria,Bold" w:cs="Calibri"/>
          <w:b/>
          <w:bCs/>
          <w:sz w:val="24"/>
          <w:szCs w:val="24"/>
          <w:lang w:eastAsia="en-US"/>
        </w:rPr>
        <w:t>склађености пословања и поступања</w:t>
      </w:r>
      <w:r>
        <w:rPr>
          <w:rFonts w:eastAsia="Cambria,Bold" w:cs="Calibri"/>
          <w:b/>
          <w:bCs/>
          <w:sz w:val="24"/>
          <w:szCs w:val="24"/>
          <w:lang w:eastAsia="en-US"/>
        </w:rPr>
        <w:t xml:space="preserve">  са законом и прописима</w:t>
      </w:r>
      <w:r>
        <w:rPr>
          <w:rFonts w:eastAsia="Cambria,Bold" w:cs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mbria,Bold" w:cs="Calibri"/>
          <w:b/>
          <w:bCs/>
          <w:sz w:val="24"/>
          <w:szCs w:val="24"/>
          <w:lang w:eastAsia="en-US"/>
        </w:rPr>
        <w:t>које се мер</w:t>
      </w:r>
      <w:r>
        <w:rPr>
          <w:rFonts w:eastAsia="Cambria,Bold" w:cs="Calibri"/>
          <w:b/>
          <w:bCs/>
          <w:sz w:val="24"/>
          <w:szCs w:val="24"/>
          <w:lang w:eastAsia="en-US"/>
        </w:rPr>
        <w:t>e</w:t>
      </w:r>
      <w:r>
        <w:rPr>
          <w:rFonts w:eastAsia="Cambria,Bold" w:cs="Calibri"/>
          <w:b/>
          <w:bCs/>
          <w:sz w:val="24"/>
          <w:szCs w:val="24"/>
          <w:lang w:eastAsia="en-US"/>
        </w:rPr>
        <w:t xml:space="preserve"> контролним листама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pStyle w:val="tekst"/>
        <w:ind w:left="0" w:right="-36" w:firstLine="0"/>
        <w:rPr>
          <w:rFonts w:ascii="Calibri" w:hAnsi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У поступцима редовног и ванредног инспекцијског надзора утврђено је да је ниво усклађености поступања или пословања са прописима, а</w:t>
      </w:r>
      <w:r>
        <w:rPr>
          <w:rFonts w:ascii="Calibri" w:hAnsi="Calibri" w:cs="Calibri"/>
          <w:sz w:val="24"/>
          <w:szCs w:val="24"/>
          <w:lang/>
        </w:rPr>
        <w:t xml:space="preserve"> који се мери контролним листама, задовољавајући. </w:t>
      </w:r>
      <w:r>
        <w:rPr>
          <w:rFonts w:ascii="Calibri" w:hAnsi="Calibri"/>
          <w:sz w:val="24"/>
          <w:szCs w:val="24"/>
          <w:lang/>
        </w:rPr>
        <w:t>Контролом стања у области становања и одржавања зграда и области комуналног реда  утврђено је да постоји велика неусаглашеност са прописаним обавезама. Простори уз поједине стамбене зграде, фасаде, степениш</w:t>
      </w:r>
      <w:r>
        <w:rPr>
          <w:rFonts w:ascii="Calibri" w:hAnsi="Calibri"/>
          <w:sz w:val="24"/>
          <w:szCs w:val="24"/>
          <w:lang/>
        </w:rPr>
        <w:t>та и комунална инфраструктура великог  броја стамбених зграда су девастирани, а и други спољни делови и елементи објеката су стари и дотрајали што захтева велика улагања те поред обавезе одржавања од стране власника станова потребна је и адекватна стамбена</w:t>
      </w:r>
      <w:r>
        <w:rPr>
          <w:rFonts w:ascii="Calibri" w:hAnsi="Calibri"/>
          <w:sz w:val="24"/>
          <w:szCs w:val="24"/>
          <w:lang/>
        </w:rPr>
        <w:t xml:space="preserve"> подршка. Неусаглашеност постоји и када су у питању пословне зграде и затворени Тржни центри јер исти још увек нису формирали Удружења и заступнике, нити донели Правила власника  сходно одредбама Закона о становању и одржавању зграда. </w:t>
      </w:r>
    </w:p>
    <w:p w:rsidR="00000000" w:rsidRDefault="005D307E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Неусклађен</w:t>
      </w:r>
      <w:r>
        <w:rPr>
          <w:sz w:val="24"/>
          <w:szCs w:val="24"/>
          <w:lang/>
        </w:rPr>
        <w:t>ост и одступања од закона и прописа и даље је приметна  када се ради о забрањеним радњама  исписивањем графита као и лепљењем плаката на недозвољеним местима. Ради успостављања ефикаснијег  комуналног реда неопходно је веће ангажовање комуналне милиције ра</w:t>
      </w:r>
      <w:r>
        <w:rPr>
          <w:sz w:val="24"/>
          <w:szCs w:val="24"/>
          <w:lang/>
        </w:rPr>
        <w:t>ди успостављања комуналног реда на лицу места и учесталији јавни апели свих носилаца јавних овлашћења.</w:t>
      </w:r>
    </w:p>
    <w:p w:rsidR="00000000" w:rsidRDefault="005D307E">
      <w:pPr>
        <w:pStyle w:val="tekst"/>
        <w:ind w:left="0" w:right="-36"/>
        <w:rPr>
          <w:sz w:val="24"/>
          <w:szCs w:val="24"/>
          <w:lang/>
        </w:rPr>
      </w:pPr>
      <w:r>
        <w:rPr>
          <w:rFonts w:ascii="Calibri" w:hAnsi="Calibri"/>
          <w:sz w:val="24"/>
          <w:szCs w:val="24"/>
          <w:lang/>
        </w:rPr>
        <w:t xml:space="preserve">         На основу великог броја пријава грађана које су индикатор и смерница за поступање , покретање као и планирање инспекцијског надзора  у току редо</w:t>
      </w:r>
      <w:r>
        <w:rPr>
          <w:rFonts w:ascii="Calibri" w:hAnsi="Calibri"/>
          <w:sz w:val="24"/>
          <w:szCs w:val="24"/>
          <w:lang/>
        </w:rPr>
        <w:t>вних инспекцијских надзора утврђена су велика одступања када је у питању одржавање „урбаних  џепова“, неуређеног и неизграђеног грађевинско земљиште на парцелама у својини Републике Србије и на којима нема корисника или закупаца или нису решени имовински п</w:t>
      </w:r>
      <w:r>
        <w:rPr>
          <w:rFonts w:ascii="Calibri" w:hAnsi="Calibri"/>
          <w:sz w:val="24"/>
          <w:szCs w:val="24"/>
          <w:lang/>
        </w:rPr>
        <w:t xml:space="preserve">равни односи и препарцелације те је тешко утврдити ко је у обавези да их одржава у уредном стању. </w:t>
      </w:r>
      <w:r>
        <w:rPr>
          <w:rFonts w:ascii="Calibri" w:hAnsi="Calibri"/>
          <w:color w:val="FF0000"/>
          <w:sz w:val="24"/>
          <w:szCs w:val="24"/>
          <w:lang/>
        </w:rPr>
        <w:t xml:space="preserve"> </w:t>
      </w:r>
      <w:r>
        <w:rPr>
          <w:rFonts w:ascii="Calibri" w:hAnsi="Calibri"/>
          <w:sz w:val="24"/>
          <w:szCs w:val="24"/>
          <w:lang/>
        </w:rPr>
        <w:t>Велики број пријава односио се на оштећења коловоза и стварање „ударних рупа“, како на улицама тако и на интерним унутарблоковским саобраћајницама, тротоарим</w:t>
      </w:r>
      <w:r>
        <w:rPr>
          <w:rFonts w:ascii="Calibri" w:hAnsi="Calibri"/>
          <w:sz w:val="24"/>
          <w:szCs w:val="24"/>
          <w:lang/>
        </w:rPr>
        <w:t>а и стазама, а променом Статута градске општине Нови Београд комунални инспектори по пријавама грађана континуирано су  евидентирали оштећења и захтеве за санацију блоковских површина прослеђивали Одељењу за грађевинске и комуналне послове и послове озакоњ</w:t>
      </w:r>
      <w:r>
        <w:rPr>
          <w:rFonts w:ascii="Calibri" w:hAnsi="Calibri"/>
          <w:sz w:val="24"/>
          <w:szCs w:val="24"/>
          <w:lang/>
        </w:rPr>
        <w:t>ења ГО Нови Београд како би се сачинио Програм  и План приоритета одржавања како јавних зелених тако и саобраћајних површина унутар новобеоградских блокова.</w:t>
      </w:r>
      <w:r>
        <w:rPr>
          <w:rFonts w:ascii="Calibri" w:hAnsi="Calibri"/>
          <w:sz w:val="24"/>
          <w:szCs w:val="24"/>
        </w:rPr>
        <w:t xml:space="preserve"> </w:t>
      </w:r>
    </w:p>
    <w:p w:rsidR="00000000" w:rsidRDefault="005D307E">
      <w:pPr>
        <w:spacing w:after="0" w:line="240" w:lineRule="auto"/>
        <w:jc w:val="both"/>
        <w:rPr>
          <w:rFonts w:cs="Calibri"/>
          <w:color w:val="FF0000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Нерегистровани субјекти и предузете мере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    У току 2019. године извршене су контроле заузећа </w:t>
      </w:r>
      <w:r>
        <w:rPr>
          <w:rFonts w:cs="Calibri"/>
          <w:sz w:val="24"/>
          <w:szCs w:val="24"/>
          <w:lang/>
        </w:rPr>
        <w:t xml:space="preserve">јавних површина постављањем башти угоститељских објеката, покретних привремених објеката и постављених средстава за оглашавање и утврђено укупно </w:t>
      </w:r>
      <w:r>
        <w:rPr>
          <w:rFonts w:cs="Calibri"/>
          <w:b/>
          <w:sz w:val="24"/>
          <w:szCs w:val="24"/>
          <w:lang/>
        </w:rPr>
        <w:t>467</w:t>
      </w:r>
      <w:r>
        <w:rPr>
          <w:rFonts w:cs="Calibri"/>
          <w:sz w:val="24"/>
          <w:szCs w:val="24"/>
          <w:lang/>
        </w:rPr>
        <w:t xml:space="preserve"> нерегистрованих субјеката који не поседују прописана одобрења. Надзираним субјектима решењима је налагано д</w:t>
      </w:r>
      <w:r>
        <w:rPr>
          <w:rFonts w:cs="Calibri"/>
          <w:sz w:val="24"/>
          <w:szCs w:val="24"/>
          <w:lang/>
        </w:rPr>
        <w:t>а без одлагања</w:t>
      </w:r>
      <w:r>
        <w:rPr>
          <w:rFonts w:eastAsia="Cambria,Bold" w:cs="Calibri"/>
          <w:sz w:val="24"/>
          <w:szCs w:val="24"/>
        </w:rPr>
        <w:t>, покрену поступак за прибављањ</w:t>
      </w:r>
      <w:r>
        <w:rPr>
          <w:rFonts w:eastAsia="Cambria,Bold" w:cs="Calibri"/>
          <w:sz w:val="24"/>
          <w:szCs w:val="24"/>
          <w:lang/>
        </w:rPr>
        <w:t>е</w:t>
      </w:r>
      <w:r>
        <w:rPr>
          <w:rFonts w:eastAsia="Cambria,Bold" w:cs="Calibri"/>
          <w:sz w:val="24"/>
          <w:szCs w:val="24"/>
        </w:rPr>
        <w:t xml:space="preserve"> одобрења </w:t>
      </w:r>
      <w:r>
        <w:rPr>
          <w:rFonts w:eastAsia="Cambria,Bold" w:cs="Calibri"/>
          <w:iCs/>
          <w:sz w:val="24"/>
          <w:szCs w:val="24"/>
        </w:rPr>
        <w:t xml:space="preserve">надлежне организационе јединице  </w:t>
      </w:r>
      <w:r>
        <w:rPr>
          <w:rFonts w:cs="Calibri"/>
          <w:sz w:val="24"/>
          <w:szCs w:val="24"/>
          <w:lang/>
        </w:rPr>
        <w:t xml:space="preserve"> као и да уклоне постављене објекте.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>Поред башти извршене су 33 контроле постављених покретних привремених објеката (расхладних витрина, конзерватора за сладолед и тез</w:t>
      </w:r>
      <w:r>
        <w:rPr>
          <w:rFonts w:cs="Calibri"/>
          <w:sz w:val="24"/>
          <w:szCs w:val="24"/>
          <w:lang/>
        </w:rPr>
        <w:t xml:space="preserve">ги) и </w:t>
      </w:r>
      <w:r>
        <w:rPr>
          <w:rFonts w:cs="Calibri"/>
          <w:b/>
          <w:sz w:val="24"/>
          <w:szCs w:val="24"/>
          <w:lang/>
        </w:rPr>
        <w:t>233</w:t>
      </w:r>
      <w:r>
        <w:rPr>
          <w:rFonts w:cs="Calibri"/>
          <w:sz w:val="24"/>
          <w:szCs w:val="24"/>
          <w:lang/>
        </w:rPr>
        <w:t xml:space="preserve"> контроле постављених средстава за оглашавање на стамбеним и пословним зградама и стубовима јавне расвете на основу Плана инспекцијског </w:t>
      </w:r>
      <w:r>
        <w:rPr>
          <w:rFonts w:cs="Calibri"/>
          <w:sz w:val="24"/>
          <w:szCs w:val="24"/>
          <w:lang/>
        </w:rPr>
        <w:lastRenderedPageBreak/>
        <w:t>надзора чиме је ова контрола повећана у односу на 2018. годину. На основу усвојеног Плана постављања привремени</w:t>
      </w:r>
      <w:r>
        <w:rPr>
          <w:rFonts w:cs="Calibri"/>
          <w:sz w:val="24"/>
          <w:szCs w:val="24"/>
          <w:lang/>
        </w:rPr>
        <w:t>х објеката-киоска и јавног конкурса донета је одлука и одређени нови корисници локација за постављање киоска на територији Градске општине Нови Београд</w:t>
      </w:r>
      <w:r>
        <w:rPr>
          <w:rFonts w:cs="Calibri"/>
          <w:sz w:val="24"/>
          <w:szCs w:val="24"/>
          <w:lang/>
        </w:rPr>
        <w:t>.</w:t>
      </w: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У току 2019. године 565 субјекта се уписало у прописани регистар и добило одобрења надлежних органа. На</w:t>
      </w:r>
      <w:r>
        <w:rPr>
          <w:rFonts w:cs="Calibri"/>
          <w:sz w:val="24"/>
          <w:szCs w:val="24"/>
          <w:lang/>
        </w:rPr>
        <w:t xml:space="preserve"> дан 31.12.2019. године укупан број регистрованих  стамбених заједница  био  је укупно 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>2744  а принудна управа уведена  је у 108  стамбених заједница</w:t>
      </w:r>
      <w:r>
        <w:rPr>
          <w:rFonts w:cs="Calibri"/>
          <w:color w:val="FF0000"/>
          <w:sz w:val="24"/>
          <w:szCs w:val="24"/>
          <w:lang/>
        </w:rPr>
        <w:t>.</w:t>
      </w:r>
      <w:r>
        <w:rPr>
          <w:rFonts w:cs="Calibri"/>
          <w:sz w:val="24"/>
          <w:szCs w:val="24"/>
          <w:lang/>
        </w:rPr>
        <w:t xml:space="preserve"> Приметно је и да је одређен број управника стамбених заједница  дао оставке или је  разрешен на основу ч</w:t>
      </w:r>
      <w:r>
        <w:rPr>
          <w:rFonts w:cs="Calibri"/>
          <w:sz w:val="24"/>
          <w:szCs w:val="24"/>
          <w:lang/>
        </w:rPr>
        <w:t xml:space="preserve">ега је поново вршен поступак надзора за избор нових  управника. </w:t>
      </w:r>
    </w:p>
    <w:p w:rsidR="00000000" w:rsidRDefault="005D307E">
      <w:pPr>
        <w:spacing w:after="0" w:line="240" w:lineRule="auto"/>
      </w:pPr>
    </w:p>
    <w:p w:rsidR="00000000" w:rsidRDefault="003B4EA7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4568967" cy="2744728"/>
            <wp:effectExtent l="12182" t="6092" r="6091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/>
        </w:rPr>
      </w:pPr>
      <w:r>
        <w:rPr>
          <w:rFonts w:cs="Calibri"/>
          <w:b/>
          <w:sz w:val="24"/>
          <w:szCs w:val="24"/>
          <w:lang/>
        </w:rPr>
        <w:t>Однос редовних и ванредних инспекцијских надзора</w:t>
      </w: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color w:val="FF0000"/>
          <w:sz w:val="24"/>
          <w:szCs w:val="24"/>
        </w:rPr>
      </w:pPr>
      <w:r>
        <w:rPr>
          <w:rFonts w:eastAsia="Cambria" w:cs="Cambria"/>
          <w:sz w:val="24"/>
          <w:szCs w:val="24"/>
          <w:lang/>
        </w:rPr>
        <w:t>На основу процене ризика  као и учесталости пријава грађана</w:t>
      </w:r>
      <w:r>
        <w:rPr>
          <w:rFonts w:eastAsia="Cambria" w:cs="Cambria"/>
          <w:sz w:val="24"/>
          <w:szCs w:val="24"/>
        </w:rPr>
        <w:t xml:space="preserve">, </w:t>
      </w:r>
      <w:r>
        <w:rPr>
          <w:rFonts w:eastAsia="Cambria" w:cs="Cambria"/>
          <w:sz w:val="24"/>
          <w:szCs w:val="24"/>
          <w:lang/>
        </w:rPr>
        <w:t xml:space="preserve">током 2019. године </w:t>
      </w:r>
      <w:r>
        <w:rPr>
          <w:sz w:val="24"/>
          <w:szCs w:val="24"/>
        </w:rPr>
        <w:t>извршен</w:t>
      </w:r>
      <w:r>
        <w:rPr>
          <w:sz w:val="24"/>
          <w:szCs w:val="24"/>
          <w:lang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 1000</w:t>
      </w:r>
      <w:r>
        <w:rPr>
          <w:sz w:val="24"/>
          <w:szCs w:val="24"/>
        </w:rPr>
        <w:t xml:space="preserve"> редовн</w:t>
      </w:r>
      <w:r>
        <w:rPr>
          <w:sz w:val="24"/>
          <w:szCs w:val="24"/>
          <w:lang/>
        </w:rPr>
        <w:t>их теренских и канцеларијских</w:t>
      </w:r>
      <w:r>
        <w:rPr>
          <w:sz w:val="24"/>
          <w:szCs w:val="24"/>
        </w:rPr>
        <w:t xml:space="preserve"> инсп</w:t>
      </w:r>
      <w:r>
        <w:rPr>
          <w:sz w:val="24"/>
          <w:szCs w:val="24"/>
        </w:rPr>
        <w:t>екцијск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надзора и то највише из области  </w:t>
      </w:r>
      <w:r>
        <w:rPr>
          <w:sz w:val="24"/>
          <w:szCs w:val="24"/>
          <w:lang/>
        </w:rPr>
        <w:t xml:space="preserve">комуналног реда (непрописно паркирање, нерегистрована возила, одржавање површина), заузећа јавних површина постављањем </w:t>
      </w:r>
      <w:r>
        <w:rPr>
          <w:sz w:val="24"/>
          <w:szCs w:val="24"/>
        </w:rPr>
        <w:t xml:space="preserve"> башти угостите</w:t>
      </w:r>
      <w:r>
        <w:rPr>
          <w:sz w:val="24"/>
          <w:szCs w:val="24"/>
          <w:lang/>
        </w:rPr>
        <w:t>љ</w:t>
      </w:r>
      <w:r>
        <w:rPr>
          <w:sz w:val="24"/>
          <w:szCs w:val="24"/>
        </w:rPr>
        <w:t>ских објекат</w:t>
      </w:r>
      <w:r>
        <w:rPr>
          <w:sz w:val="24"/>
          <w:szCs w:val="24"/>
          <w:lang/>
        </w:rPr>
        <w:t xml:space="preserve">а и постављањем средстава за оглашавање.   </w:t>
      </w: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Велики број области ин</w:t>
      </w:r>
      <w:r>
        <w:rPr>
          <w:rFonts w:cs="Calibri"/>
          <w:sz w:val="24"/>
          <w:szCs w:val="24"/>
          <w:lang/>
        </w:rPr>
        <w:t>спекцијског надзора предвиђених Годишњим планом редовног инспекцијског надзора ГО Нови Београд обухваћени су и покривени ванредним инспекцијским надзорима по пријавама грађана као што је инспекцијски надзор у области становања и одржавања зграда и поштовањ</w:t>
      </w:r>
      <w:r>
        <w:rPr>
          <w:rFonts w:cs="Calibri"/>
          <w:sz w:val="24"/>
          <w:szCs w:val="24"/>
          <w:lang/>
        </w:rPr>
        <w:t xml:space="preserve">а кућног реда,  укупно 671 надзор . У 2019. години извршен је </w:t>
      </w: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631</w:t>
      </w:r>
      <w:r>
        <w:rPr>
          <w:b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 xml:space="preserve">  инспекцијски надзор по пријавама грађана .  У 2019. Године приметан је повећан број представки по пријавама у односу на раније године, укупно 4871 пријава, посебно када се ради о електрон</w:t>
      </w:r>
      <w:r>
        <w:rPr>
          <w:rFonts w:cs="Calibri"/>
          <w:sz w:val="24"/>
          <w:szCs w:val="24"/>
          <w:lang/>
        </w:rPr>
        <w:t>ским поднесцима. Поред стамбених заједница, поштовања кућног реда и рада управника, највећи број пријава односио се на успостављање комуналног реда и одржавања чистоће  (уређење и чишћење површина јавне намене, неуређеног и неизграђевног грађевинског земљи</w:t>
      </w:r>
      <w:r>
        <w:rPr>
          <w:rFonts w:cs="Calibri"/>
          <w:sz w:val="24"/>
          <w:szCs w:val="24"/>
          <w:lang/>
        </w:rPr>
        <w:t xml:space="preserve">шта и  уклањање депонија),  одржавање јавних зелених површина (кошење) и санацију ударних рупа и оштећења јавних саобраћајних површина (тротоара, интерних саобраћајница, прилаза стамбеним зградама, степеништима) и сл. </w:t>
      </w: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У току извештајне године комунални ин</w:t>
      </w:r>
      <w:r>
        <w:rPr>
          <w:rFonts w:cs="Calibri"/>
          <w:sz w:val="24"/>
          <w:szCs w:val="24"/>
          <w:lang/>
        </w:rPr>
        <w:t xml:space="preserve">спектори по Плану инспекцијског надзора и на основу представки грађана вршили су увиђај на лицу места, канцеларијски надзор увидом у податке </w:t>
      </w:r>
      <w:r>
        <w:rPr>
          <w:rFonts w:cs="Calibri"/>
          <w:sz w:val="24"/>
          <w:szCs w:val="24"/>
          <w:lang/>
        </w:rPr>
        <w:lastRenderedPageBreak/>
        <w:t>катастра непокретности, орто-фото снимке, податке АПР и другу документацију, сачињавали записнике, спроводили испит</w:t>
      </w:r>
      <w:r>
        <w:rPr>
          <w:rFonts w:cs="Calibri"/>
          <w:sz w:val="24"/>
          <w:szCs w:val="24"/>
          <w:lang/>
        </w:rPr>
        <w:t>ни поступак, доносили управна акта и обавештавали  грађане о предузетим мерама.</w:t>
      </w:r>
    </w:p>
    <w:p w:rsidR="00000000" w:rsidRDefault="005D307E">
      <w:pPr>
        <w:spacing w:after="0" w:line="240" w:lineRule="auto"/>
      </w:pPr>
    </w:p>
    <w:p w:rsidR="00000000" w:rsidRDefault="003B4EA7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4227433" cy="2394984"/>
            <wp:effectExtent l="11271" t="5316" r="5636" b="0"/>
            <wp:docPr id="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0000" w:rsidRDefault="005D307E">
      <w:pPr>
        <w:spacing w:after="0" w:line="240" w:lineRule="auto"/>
      </w:pPr>
    </w:p>
    <w:p w:rsidR="00000000" w:rsidRDefault="005D307E">
      <w:pPr>
        <w:spacing w:after="0" w:line="240" w:lineRule="auto"/>
      </w:pPr>
    </w:p>
    <w:p w:rsidR="00000000" w:rsidRDefault="005D307E">
      <w:pPr>
        <w:spacing w:after="0" w:line="240" w:lineRule="auto"/>
      </w:pPr>
    </w:p>
    <w:p w:rsidR="00000000" w:rsidRDefault="005D307E">
      <w:pPr>
        <w:spacing w:after="0" w:line="240" w:lineRule="auto"/>
        <w:jc w:val="center"/>
      </w:pP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Координација инспекцијског надзора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У поступцима редовних или ванредних инспекцијских надзора Комунална инспекција градске општине Нови Београд проследила је током 201</w:t>
      </w:r>
      <w:r>
        <w:rPr>
          <w:rFonts w:cs="Calibri"/>
          <w:sz w:val="24"/>
          <w:szCs w:val="24"/>
          <w:lang/>
        </w:rPr>
        <w:t>9. године 370 пријава или записника  другим инспекцијама или органима, а чији предмет контроле није у њеној надлежности у складу са чланом 30. Закона о инспекцијском надзору. Спроведено је и неколико заједничких акција са комуналном милицијом на успоставља</w:t>
      </w:r>
      <w:r>
        <w:rPr>
          <w:rFonts w:cs="Calibri"/>
          <w:sz w:val="24"/>
          <w:szCs w:val="24"/>
          <w:lang/>
        </w:rPr>
        <w:t>њу комуналног реда на површинама где се врши улична продаја , контрола камионске продаје и контрола заузећа јавних површина око Кинеског тржног центра. Како би се постигла ефикаснија сарадња и координација  инспекцијских органа, бржа и максимална међусобна</w:t>
      </w:r>
      <w:r>
        <w:rPr>
          <w:rFonts w:cs="Calibri"/>
          <w:sz w:val="24"/>
          <w:szCs w:val="24"/>
          <w:lang/>
        </w:rPr>
        <w:t xml:space="preserve"> информисаност,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 систем е-управе. </w:t>
      </w: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Ресурси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У поступцима ин</w:t>
      </w:r>
      <w:r>
        <w:rPr>
          <w:rFonts w:cs="Calibri"/>
          <w:sz w:val="24"/>
          <w:szCs w:val="24"/>
          <w:lang/>
        </w:rPr>
        <w:t>спекцијског надзора инспектори су користили расположива и редовна  материјална средства. Сви запослени имају високо стручно образовање и дугогодишње искуство на пословима инспекцијског надзора, али је старосна структура незадовољавајућа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Без обзира на број</w:t>
      </w:r>
      <w:r>
        <w:rPr>
          <w:rFonts w:cs="Calibri"/>
          <w:sz w:val="24"/>
          <w:szCs w:val="24"/>
          <w:lang/>
        </w:rPr>
        <w:t xml:space="preserve"> инспектора због величине територијалног подручја, броја становника и  стамбених зграда,  великог броја пријава  и  великог броја управних поступака које комунална инспекција  води у области становања и одржавања зграда, одржавања и заузећа јавних површина</w:t>
      </w:r>
      <w:r>
        <w:rPr>
          <w:rFonts w:cs="Calibri"/>
          <w:sz w:val="24"/>
          <w:szCs w:val="24"/>
          <w:lang/>
        </w:rPr>
        <w:t xml:space="preserve">, неопходно је  и веће ангажовање комуналне милиције посебно у областима које се односе на буку, зоохигијену, </w:t>
      </w:r>
      <w:r>
        <w:rPr>
          <w:rFonts w:cs="Calibri"/>
          <w:sz w:val="24"/>
          <w:szCs w:val="24"/>
          <w:lang/>
        </w:rPr>
        <w:lastRenderedPageBreak/>
        <w:t>лепљење плаката и исписивање графита, непрописно паркирање, уличну продају и друге недозвољене радње које  захтевају и претпостављају  интервенциј</w:t>
      </w:r>
      <w:r>
        <w:rPr>
          <w:rFonts w:cs="Calibri"/>
          <w:sz w:val="24"/>
          <w:szCs w:val="24"/>
          <w:lang/>
        </w:rPr>
        <w:t>у у тренутку чињења прекршаја и који не захтевају вођење управног поступка. У односу на 2018. годину повећан је и број свакодневних пријава које се односе на рад управника, жалбе на обавезу учествовања у трошковима одржавања стамбених зграда,  поштовање ку</w:t>
      </w:r>
      <w:r>
        <w:rPr>
          <w:rFonts w:cs="Calibri"/>
          <w:sz w:val="24"/>
          <w:szCs w:val="24"/>
          <w:lang/>
        </w:rPr>
        <w:t xml:space="preserve">ћног реда од стране станара, нарочито када је у питању одржавање чистоће у зградама, бука у стану у прописано време одмора и у ноћним сатима што захтева додатно анагажовање дежурне мобилне екипе  и ноћни рад. 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Придржавање  рокова за поступање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>С обзиром д</w:t>
      </w:r>
      <w:r>
        <w:rPr>
          <w:rFonts w:cs="Calibri"/>
          <w:sz w:val="24"/>
          <w:szCs w:val="24"/>
          <w:lang/>
        </w:rPr>
        <w:t xml:space="preserve">а је Законом о инспекцијском надзору прописана хитност мера  уколико се процени и утврди висок и критичан ризик, односно када то </w:t>
      </w:r>
      <w:r>
        <w:rPr>
          <w:rFonts w:eastAsia="Times New Roman" w:cs="Calibri"/>
          <w:sz w:val="24"/>
          <w:szCs w:val="24"/>
        </w:rPr>
        <w:t>захтева</w:t>
      </w:r>
      <w:r>
        <w:rPr>
          <w:rFonts w:eastAsia="Times New Roman" w:cs="Calibri"/>
          <w:sz w:val="24"/>
          <w:szCs w:val="24"/>
          <w:lang/>
        </w:rPr>
        <w:t xml:space="preserve">ју </w:t>
      </w:r>
      <w:r>
        <w:rPr>
          <w:rFonts w:eastAsia="Times New Roman" w:cs="Calibri"/>
          <w:sz w:val="24"/>
          <w:szCs w:val="24"/>
        </w:rPr>
        <w:t xml:space="preserve"> разлози спречавања или отклањања непосредне опасности по животну средину</w:t>
      </w:r>
      <w:r>
        <w:rPr>
          <w:rFonts w:eastAsia="Times New Roman" w:cs="Calibri"/>
          <w:sz w:val="24"/>
          <w:szCs w:val="24"/>
          <w:lang/>
        </w:rPr>
        <w:t>, безбедност или комунални ред</w:t>
      </w:r>
      <w:r>
        <w:rPr>
          <w:rFonts w:cs="Calibri"/>
          <w:sz w:val="24"/>
          <w:szCs w:val="24"/>
          <w:lang/>
        </w:rPr>
        <w:t>, инспектори с</w:t>
      </w:r>
      <w:r>
        <w:rPr>
          <w:rFonts w:cs="Calibri"/>
          <w:sz w:val="24"/>
          <w:szCs w:val="24"/>
          <w:lang/>
        </w:rPr>
        <w:t>у одмах по пријему телефонских пријава или оних које стижу електронском поштом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</w:t>
      </w:r>
      <w:r>
        <w:rPr>
          <w:rFonts w:cs="Calibri"/>
          <w:sz w:val="24"/>
          <w:szCs w:val="24"/>
          <w:lang/>
        </w:rPr>
        <w:t xml:space="preserve"> представки. Из разлога што још увек није уведен јединствен електронски информациони систем и повезаност са свим  инспекцијама, а с друге стране поједини управни поступци трају дуже због прибављања неопходних података и спровођења испитних и доказних посту</w:t>
      </w:r>
      <w:r>
        <w:rPr>
          <w:rFonts w:cs="Calibri"/>
          <w:sz w:val="24"/>
          <w:szCs w:val="24"/>
          <w:lang/>
        </w:rPr>
        <w:t>пака, одговори подносиоцима  нису понекад стизали у жељеним роковима, али су испоштовани у складу са прописима. Примена новог Закона о становању и одржавању због природе надзора које подразумева претходну припрему, канцеларијски надзор,  увид у документаци</w:t>
      </w:r>
      <w:r>
        <w:rPr>
          <w:rFonts w:cs="Calibri"/>
          <w:sz w:val="24"/>
          <w:szCs w:val="24"/>
          <w:lang/>
        </w:rPr>
        <w:t>ју  стамбених заједница, катастарске податке, узимање изјаве и спровођење испитног поступка када се ради о неплаћању трошкова на име одржавања и управљаља као и рада и поступања управника, поступање власника посебних делова као и теренски надзор,  у поједи</w:t>
      </w:r>
      <w:r>
        <w:rPr>
          <w:rFonts w:cs="Calibri"/>
          <w:sz w:val="24"/>
          <w:szCs w:val="24"/>
          <w:lang/>
        </w:rPr>
        <w:t>ним случајевима захтева озбиљан приступ  и одређено време за предузимање мера. Комунални инспектори су управне радње вршили, а управне мере доносили   у законским роковима, али ће се радити на томе да они буду још краћи нарочито када се ради о изласцима на</w:t>
      </w:r>
      <w:r>
        <w:rPr>
          <w:rFonts w:cs="Calibri"/>
          <w:sz w:val="24"/>
          <w:szCs w:val="24"/>
          <w:lang/>
        </w:rPr>
        <w:t xml:space="preserve"> терен и обавештавању подносиоца представки . На електронске пријаве одмах се одговарало уколико су грађани тражили само  информацију или се није покретао поступак инспекцијског надзора због незнатног   ризика или су представке биле  у надлежности других и</w:t>
      </w:r>
      <w:r>
        <w:rPr>
          <w:rFonts w:cs="Calibri"/>
          <w:sz w:val="24"/>
          <w:szCs w:val="24"/>
          <w:lang/>
        </w:rPr>
        <w:t>нспекција и органа којима су одмах прослеђиване.</w:t>
      </w:r>
    </w:p>
    <w:p w:rsidR="00000000" w:rsidRDefault="005D307E">
      <w:pPr>
        <w:spacing w:after="0" w:line="240" w:lineRule="auto"/>
      </w:pP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Законитост управних аката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eastAsia="Times New Roman"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Комунални инспектори градске општине врше инспекцијски надзор над спровођењем прописа јединице локалне самоуправе донетих на основу Закона о општем управном поступку,   Закона о </w:t>
      </w:r>
      <w:r>
        <w:rPr>
          <w:rFonts w:cs="Calibri"/>
          <w:sz w:val="24"/>
          <w:szCs w:val="24"/>
          <w:lang/>
        </w:rPr>
        <w:t xml:space="preserve">комуналним делатностима, Закона о инспекцијском надзору , Закона о оглашавању и Закона о становању и одржавању зграда. Поред тога комунална инспекција поступа по одредбама  </w:t>
      </w:r>
      <w:r>
        <w:rPr>
          <w:rFonts w:cs="Calibri"/>
          <w:sz w:val="24"/>
          <w:szCs w:val="24"/>
        </w:rPr>
        <w:t xml:space="preserve">27 </w:t>
      </w:r>
      <w:r>
        <w:rPr>
          <w:rFonts w:cs="Calibri"/>
          <w:sz w:val="24"/>
          <w:szCs w:val="24"/>
          <w:lang/>
        </w:rPr>
        <w:t xml:space="preserve"> о</w:t>
      </w:r>
      <w:r>
        <w:rPr>
          <w:rFonts w:cs="Calibri"/>
          <w:sz w:val="24"/>
          <w:szCs w:val="24"/>
          <w:lang/>
        </w:rPr>
        <w:t>длука града Београда из различитих области. О сваком извршеном прегледу и радњ</w:t>
      </w:r>
      <w:r>
        <w:rPr>
          <w:rFonts w:cs="Calibri"/>
          <w:sz w:val="24"/>
          <w:szCs w:val="24"/>
          <w:lang/>
        </w:rPr>
        <w:t>ама инспектори су састављали записнике и достављали их странкама у поступку на изјашњавање, а о резултатима обавештавали подносиоце представки. У случајевима када је у поступку надзора утврђено да одређени пропис није или је неправилно примењен инспектор ј</w:t>
      </w:r>
      <w:r>
        <w:rPr>
          <w:rFonts w:cs="Calibri"/>
          <w:sz w:val="24"/>
          <w:szCs w:val="24"/>
          <w:lang/>
        </w:rPr>
        <w:t xml:space="preserve">е записички налагао мере,  доносио решење или зависно од процене ризика и тежине штетних последица издавао прекршајни налог. Инспектори су у сарадњи са руководиоцима и запосленима на управним и </w:t>
      </w:r>
      <w:r>
        <w:rPr>
          <w:rFonts w:cs="Calibri"/>
          <w:sz w:val="24"/>
          <w:szCs w:val="24"/>
          <w:lang/>
        </w:rPr>
        <w:lastRenderedPageBreak/>
        <w:t>нормативним пословима одлучивали о питањима везано за одређену</w:t>
      </w:r>
      <w:r>
        <w:rPr>
          <w:rFonts w:cs="Calibri"/>
          <w:sz w:val="24"/>
          <w:szCs w:val="24"/>
          <w:lang/>
        </w:rPr>
        <w:t xml:space="preserve"> област из делокруга рада комуналне инспекције  и  начину  примене чланова који су непрецизно и нејасно дефинисани појединим прописом. </w:t>
      </w:r>
      <w:r>
        <w:rPr>
          <w:rFonts w:eastAsia="Times New Roman" w:cs="Calibri"/>
          <w:sz w:val="24"/>
          <w:szCs w:val="24"/>
          <w:lang/>
        </w:rPr>
        <w:t xml:space="preserve">Од спољашних фактора који утичу на ефикасност остваривања инспекцијског надзора треба истаћи преклапање надлежности или  </w:t>
      </w:r>
      <w:r>
        <w:rPr>
          <w:rFonts w:eastAsia="Times New Roman" w:cs="Calibri"/>
          <w:sz w:val="24"/>
          <w:szCs w:val="24"/>
          <w:lang/>
        </w:rPr>
        <w:t xml:space="preserve">нормативну неусаглашеност неких прописа у појединим управним областима  . </w:t>
      </w: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У  2019. години поднете су 62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 xml:space="preserve">жалбе на решења комуналних инспектора а највише на решења којима се налаже уклањање башти и  уклањање средстава за оглашавање. Укупно су поништена два </w:t>
      </w:r>
      <w:r>
        <w:rPr>
          <w:rFonts w:cs="Calibri"/>
          <w:sz w:val="24"/>
          <w:szCs w:val="24"/>
          <w:lang/>
        </w:rPr>
        <w:t xml:space="preserve"> првостепена решења  и покренута два  управна спора с тим да нема изгубљених .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Притужбе на рад инспекције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 xml:space="preserve">У  </w:t>
      </w:r>
      <w:r>
        <w:rPr>
          <w:rFonts w:cs="Calibri"/>
          <w:color w:val="000000"/>
          <w:sz w:val="24"/>
          <w:szCs w:val="24"/>
        </w:rPr>
        <w:t>201</w:t>
      </w:r>
      <w:r>
        <w:rPr>
          <w:rFonts w:cs="Calibri"/>
          <w:color w:val="000000"/>
          <w:sz w:val="24"/>
          <w:szCs w:val="24"/>
          <w:lang/>
        </w:rPr>
        <w:t>9</w:t>
      </w:r>
      <w:r>
        <w:rPr>
          <w:rFonts w:cs="Calibri"/>
          <w:color w:val="000000"/>
          <w:sz w:val="24"/>
          <w:szCs w:val="24"/>
        </w:rPr>
        <w:t>. години</w:t>
      </w:r>
      <w:r>
        <w:rPr>
          <w:rFonts w:cs="Calibri"/>
          <w:color w:val="000000"/>
          <w:sz w:val="24"/>
          <w:szCs w:val="24"/>
          <w:lang/>
        </w:rPr>
        <w:t xml:space="preserve"> поднето је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>15</w:t>
      </w: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color w:val="000000"/>
          <w:sz w:val="24"/>
          <w:szCs w:val="24"/>
          <w:lang/>
        </w:rPr>
        <w:t>притужби подносиоца представки на рад инспекције</w:t>
      </w:r>
      <w:r>
        <w:rPr>
          <w:rFonts w:cs="Calibri"/>
          <w:color w:val="000000"/>
          <w:sz w:val="24"/>
          <w:szCs w:val="24"/>
          <w:lang/>
        </w:rPr>
        <w:t xml:space="preserve"> које се односе на поступање инспектора у постуку инспекцијског надзор</w:t>
      </w:r>
      <w:r>
        <w:rPr>
          <w:rFonts w:cs="Calibri"/>
          <w:color w:val="000000"/>
          <w:sz w:val="24"/>
          <w:szCs w:val="24"/>
          <w:lang/>
        </w:rPr>
        <w:t>а</w:t>
      </w:r>
      <w:r>
        <w:rPr>
          <w:rFonts w:cs="Calibri"/>
          <w:color w:val="000000"/>
          <w:sz w:val="24"/>
          <w:szCs w:val="24"/>
          <w:lang/>
        </w:rPr>
        <w:t xml:space="preserve"> које су се већином односиле на поступање инспекције када је у питању примена одредби кућног реда (бука) , рада и избора управника или трошкова одржавања. Руководилац инспекције размотрао је  притужбе, обавио разговор са инспекторима као и са подносиоцима</w:t>
      </w:r>
      <w:r>
        <w:rPr>
          <w:rFonts w:cs="Calibri"/>
          <w:color w:val="000000"/>
          <w:sz w:val="24"/>
          <w:szCs w:val="24"/>
          <w:lang/>
        </w:rPr>
        <w:t xml:space="preserve"> представки, налагао да се изврше допунски инспекцијски надзори или утврдио да није било незаконитог и несавесног рада  и решио жалбе и приговоре у прописаном року </w:t>
      </w:r>
      <w:r>
        <w:rPr>
          <w:rFonts w:cs="Calibri"/>
          <w:color w:val="000000"/>
          <w:sz w:val="24"/>
          <w:szCs w:val="24"/>
          <w:lang/>
        </w:rPr>
        <w:t>.</w:t>
      </w:r>
      <w:r>
        <w:rPr>
          <w:rFonts w:cs="Calibri"/>
          <w:color w:val="000000"/>
          <w:sz w:val="24"/>
          <w:szCs w:val="24"/>
          <w:lang/>
        </w:rPr>
        <w:t xml:space="preserve"> </w:t>
      </w:r>
    </w:p>
    <w:p w:rsidR="00000000" w:rsidRDefault="005D307E">
      <w:pPr>
        <w:spacing w:after="0" w:line="240" w:lineRule="auto"/>
        <w:jc w:val="both"/>
        <w:rPr>
          <w:rFonts w:cs="Calibri"/>
          <w:color w:val="000000"/>
          <w:sz w:val="24"/>
          <w:szCs w:val="24"/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Обуке запослених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У одсеку комуналне инспекције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 xml:space="preserve"> током 2019. године није било обука запо</w:t>
      </w:r>
      <w:r>
        <w:rPr>
          <w:rFonts w:cs="Calibri"/>
          <w:sz w:val="24"/>
          <w:szCs w:val="24"/>
          <w:lang/>
        </w:rPr>
        <w:t xml:space="preserve">слених. У организацији СКГО одржана је радионица „Процена ризика и управљање ризиком у комуналној инспекцији ЈЛС“ у којој су учествовала  два општинска комунална инспектора.   </w:t>
      </w:r>
    </w:p>
    <w:p w:rsidR="00000000" w:rsidRDefault="005D307E">
      <w:pPr>
        <w:spacing w:after="0" w:line="240" w:lineRule="auto"/>
        <w:jc w:val="both"/>
        <w:rPr>
          <w:rFonts w:cs="Calibri"/>
          <w:color w:val="FF0000"/>
          <w:sz w:val="24"/>
          <w:szCs w:val="24"/>
          <w:lang/>
        </w:rPr>
      </w:pPr>
      <w:r>
        <w:rPr>
          <w:rFonts w:cs="Calibri"/>
          <w:color w:val="FF0000"/>
          <w:sz w:val="24"/>
          <w:szCs w:val="24"/>
          <w:lang/>
        </w:rPr>
        <w:t xml:space="preserve">                                                                     </w:t>
      </w: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color w:val="FF0000"/>
          <w:sz w:val="24"/>
          <w:szCs w:val="24"/>
          <w:lang/>
        </w:rPr>
        <w:t xml:space="preserve"> </w:t>
      </w:r>
      <w:r>
        <w:rPr>
          <w:rFonts w:cs="Calibri"/>
          <w:b/>
          <w:sz w:val="24"/>
          <w:szCs w:val="24"/>
          <w:lang/>
        </w:rPr>
        <w:t>Информац</w:t>
      </w:r>
      <w:r>
        <w:rPr>
          <w:rFonts w:cs="Calibri"/>
          <w:b/>
          <w:sz w:val="24"/>
          <w:szCs w:val="24"/>
          <w:lang/>
        </w:rPr>
        <w:t>иони систем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Комунални инспектори у свом раду за потребе инспекцијског надзора користе  информационе податке  АПР, РГЗ, Е-управе, добијају  податке од МУП РС и користе их у складу са одредбама Закона о заштити података о личности, а служе се и службеним ев</w:t>
      </w:r>
      <w:r>
        <w:rPr>
          <w:rFonts w:cs="Calibri"/>
          <w:sz w:val="24"/>
          <w:szCs w:val="24"/>
          <w:lang/>
        </w:rPr>
        <w:t xml:space="preserve">иденцијама Одељења за грађевинске и комуналне послове и инвестиционо пројектовање , Одељења за имовинско-правне и стамбене послове и Одељења за општу управу. Уједно врше евиденцију предмета кроз интерни електронски информациони систем </w:t>
      </w:r>
      <w:r>
        <w:rPr>
          <w:rFonts w:cs="Calibri"/>
          <w:sz w:val="24"/>
          <w:szCs w:val="24"/>
          <w:lang/>
        </w:rPr>
        <w:t>“</w:t>
      </w:r>
      <w:r>
        <w:rPr>
          <w:rFonts w:cs="Calibri"/>
          <w:sz w:val="24"/>
          <w:szCs w:val="24"/>
          <w:lang/>
        </w:rPr>
        <w:t>Мега</w:t>
      </w:r>
      <w:r>
        <w:rPr>
          <w:rFonts w:cs="Calibri"/>
          <w:sz w:val="24"/>
          <w:szCs w:val="24"/>
          <w:lang/>
        </w:rPr>
        <w:t>”</w:t>
      </w:r>
      <w:r>
        <w:rPr>
          <w:rFonts w:cs="Calibri"/>
          <w:sz w:val="24"/>
          <w:szCs w:val="24"/>
          <w:lang/>
        </w:rPr>
        <w:t xml:space="preserve"> и референтске </w:t>
      </w:r>
      <w:r>
        <w:rPr>
          <w:rFonts w:cs="Calibri"/>
          <w:sz w:val="24"/>
          <w:szCs w:val="24"/>
          <w:lang/>
        </w:rPr>
        <w:t xml:space="preserve">књиге. У самом одсеку формирана је електронска база података свих представки грађана и прослеђених одговора као и друге писане и електронске евиденције </w:t>
      </w: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b/>
          <w:sz w:val="24"/>
          <w:szCs w:val="24"/>
          <w:lang/>
        </w:rPr>
        <w:t>Извршни поступак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Посебној организационој јединици ГО Нови Београд, Служби за извршење ,  2019. године</w:t>
      </w:r>
      <w:r>
        <w:rPr>
          <w:rFonts w:cs="Calibri"/>
          <w:sz w:val="24"/>
          <w:szCs w:val="24"/>
          <w:lang/>
        </w:rPr>
        <w:t xml:space="preserve"> предато</w:t>
      </w:r>
      <w:r>
        <w:rPr>
          <w:rFonts w:cs="Calibri"/>
          <w:sz w:val="24"/>
          <w:szCs w:val="24"/>
          <w:lang/>
        </w:rPr>
        <w:t xml:space="preserve"> је</w:t>
      </w:r>
      <w:r>
        <w:rPr>
          <w:rFonts w:cs="Calibri"/>
          <w:sz w:val="24"/>
          <w:szCs w:val="24"/>
          <w:lang/>
        </w:rPr>
        <w:t xml:space="preserve"> 133 предмета на даље поступање а  највише решења  из области заузећа јавних површина постављањем башти, рекламних средстава, постављањем запрека за возила, одржавања површина и оствљених нерегистрованих  возила.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jc w:val="both"/>
        <w:rPr>
          <w:rFonts w:cs="Calibri"/>
          <w:b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      13. </w:t>
      </w:r>
      <w:r>
        <w:rPr>
          <w:rFonts w:cs="Calibri"/>
          <w:b/>
          <w:sz w:val="24"/>
          <w:szCs w:val="24"/>
          <w:lang/>
        </w:rPr>
        <w:t>Прекршаји поступци</w:t>
      </w: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spacing w:after="0" w:line="240" w:lineRule="auto"/>
        <w:ind w:firstLine="45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lastRenderedPageBreak/>
        <w:t>Због оцене инспектора да је повредом прописа учињен прекршај у 2019. години издато је 665 прекршајних налога у износу од 11.205.000 динара и то највише због непоштовања одредби Одлуке о комуналном реду које се односе на остављање и паркирање  возила на на</w:t>
      </w:r>
      <w:r>
        <w:rPr>
          <w:rFonts w:cs="Calibri"/>
          <w:sz w:val="24"/>
          <w:szCs w:val="24"/>
          <w:lang/>
        </w:rPr>
        <w:t xml:space="preserve">чин којима се омета коришћење улица и путева као и због постављања башти угоститељских објеката без одобрења надлежног органа.  </w:t>
      </w:r>
    </w:p>
    <w:p w:rsidR="00000000" w:rsidRDefault="005D307E">
      <w:pPr>
        <w:spacing w:after="0" w:line="240" w:lineRule="auto"/>
        <w:rPr>
          <w:lang/>
        </w:rPr>
      </w:pPr>
    </w:p>
    <w:p w:rsidR="00000000" w:rsidRDefault="005D307E">
      <w:pPr>
        <w:spacing w:after="0" w:line="240" w:lineRule="auto"/>
        <w:jc w:val="both"/>
        <w:rPr>
          <w:rFonts w:cs="Calibri"/>
          <w:sz w:val="24"/>
          <w:szCs w:val="24"/>
          <w:lang/>
        </w:rPr>
      </w:pPr>
    </w:p>
    <w:p w:rsidR="00000000" w:rsidRDefault="005D307E">
      <w:pPr>
        <w:pStyle w:val="Title"/>
        <w:tabs>
          <w:tab w:val="left" w:pos="1440"/>
        </w:tabs>
        <w:jc w:val="both"/>
        <w:rPr>
          <w:rFonts w:ascii="Calibri" w:hAnsi="Calibri" w:cs="Calibri"/>
          <w:lang/>
        </w:rPr>
      </w:pPr>
      <w:r>
        <w:rPr>
          <w:rFonts w:ascii="Calibri" w:eastAsia="SimSun" w:hAnsi="Calibri" w:cs="Calibri"/>
          <w:b w:val="0"/>
          <w:lang/>
        </w:rPr>
        <w:t xml:space="preserve">                                                         </w:t>
      </w:r>
    </w:p>
    <w:p w:rsidR="005D307E" w:rsidRDefault="005D307E">
      <w:pPr>
        <w:tabs>
          <w:tab w:val="left" w:pos="1440"/>
        </w:tabs>
        <w:jc w:val="both"/>
        <w:rPr>
          <w:rFonts w:cs="Calibri"/>
          <w:sz w:val="24"/>
          <w:szCs w:val="24"/>
          <w:lang/>
        </w:rPr>
      </w:pPr>
    </w:p>
    <w:sectPr w:rsidR="005D307E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Yu Gothic"/>
    <w:charset w:val="80"/>
    <w:family w:val="auto"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1A1E"/>
    <w:multiLevelType w:val="multilevel"/>
    <w:tmpl w:val="47DD1A1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007133"/>
    <w:rsid w:val="00032972"/>
    <w:rsid w:val="00042A1A"/>
    <w:rsid w:val="000513C5"/>
    <w:rsid w:val="00083FD1"/>
    <w:rsid w:val="000863B2"/>
    <w:rsid w:val="00096643"/>
    <w:rsid w:val="000A46B0"/>
    <w:rsid w:val="000A6D7C"/>
    <w:rsid w:val="000B593A"/>
    <w:rsid w:val="000B6BA5"/>
    <w:rsid w:val="000B721D"/>
    <w:rsid w:val="000C1678"/>
    <w:rsid w:val="000C3BD2"/>
    <w:rsid w:val="000D78C8"/>
    <w:rsid w:val="000E4252"/>
    <w:rsid w:val="0010625E"/>
    <w:rsid w:val="001349C1"/>
    <w:rsid w:val="00155DD6"/>
    <w:rsid w:val="00160161"/>
    <w:rsid w:val="001654B8"/>
    <w:rsid w:val="00173388"/>
    <w:rsid w:val="00190387"/>
    <w:rsid w:val="0019514A"/>
    <w:rsid w:val="001B2BF9"/>
    <w:rsid w:val="001D0DFF"/>
    <w:rsid w:val="001D7A47"/>
    <w:rsid w:val="001F1D64"/>
    <w:rsid w:val="001F2041"/>
    <w:rsid w:val="001F6B88"/>
    <w:rsid w:val="00203B2B"/>
    <w:rsid w:val="00203CE5"/>
    <w:rsid w:val="00222892"/>
    <w:rsid w:val="00222CBE"/>
    <w:rsid w:val="002231A1"/>
    <w:rsid w:val="0023109A"/>
    <w:rsid w:val="002334C6"/>
    <w:rsid w:val="0024139A"/>
    <w:rsid w:val="00242795"/>
    <w:rsid w:val="002513B3"/>
    <w:rsid w:val="00252745"/>
    <w:rsid w:val="00260783"/>
    <w:rsid w:val="00263A31"/>
    <w:rsid w:val="00266E71"/>
    <w:rsid w:val="00267F20"/>
    <w:rsid w:val="00273A55"/>
    <w:rsid w:val="002810B7"/>
    <w:rsid w:val="0028189E"/>
    <w:rsid w:val="00282EB9"/>
    <w:rsid w:val="002B44C8"/>
    <w:rsid w:val="002B7278"/>
    <w:rsid w:val="002B7AC9"/>
    <w:rsid w:val="002C0027"/>
    <w:rsid w:val="002C47EA"/>
    <w:rsid w:val="002C5717"/>
    <w:rsid w:val="002D12FF"/>
    <w:rsid w:val="002E01B5"/>
    <w:rsid w:val="002E2222"/>
    <w:rsid w:val="002E35F7"/>
    <w:rsid w:val="002E3C72"/>
    <w:rsid w:val="002E5297"/>
    <w:rsid w:val="002F2EE7"/>
    <w:rsid w:val="002F47EA"/>
    <w:rsid w:val="003008EC"/>
    <w:rsid w:val="00320EBD"/>
    <w:rsid w:val="00325264"/>
    <w:rsid w:val="003322ED"/>
    <w:rsid w:val="00351405"/>
    <w:rsid w:val="0035764F"/>
    <w:rsid w:val="003601B5"/>
    <w:rsid w:val="003655FD"/>
    <w:rsid w:val="00365F82"/>
    <w:rsid w:val="003717E3"/>
    <w:rsid w:val="003815AE"/>
    <w:rsid w:val="003A72BF"/>
    <w:rsid w:val="003B4EA7"/>
    <w:rsid w:val="003C05A2"/>
    <w:rsid w:val="003C3D90"/>
    <w:rsid w:val="003C6D39"/>
    <w:rsid w:val="003D14E2"/>
    <w:rsid w:val="003D30ED"/>
    <w:rsid w:val="003E2B7B"/>
    <w:rsid w:val="003E6FB9"/>
    <w:rsid w:val="003F0710"/>
    <w:rsid w:val="003F75AC"/>
    <w:rsid w:val="003F7B36"/>
    <w:rsid w:val="00410620"/>
    <w:rsid w:val="004140B8"/>
    <w:rsid w:val="00416D43"/>
    <w:rsid w:val="00423B5B"/>
    <w:rsid w:val="00424344"/>
    <w:rsid w:val="00424A86"/>
    <w:rsid w:val="0043547D"/>
    <w:rsid w:val="004448B0"/>
    <w:rsid w:val="004454F2"/>
    <w:rsid w:val="00446485"/>
    <w:rsid w:val="004563B5"/>
    <w:rsid w:val="0046310B"/>
    <w:rsid w:val="0048405B"/>
    <w:rsid w:val="004841E2"/>
    <w:rsid w:val="00490D52"/>
    <w:rsid w:val="004913F2"/>
    <w:rsid w:val="004934F3"/>
    <w:rsid w:val="00496B0F"/>
    <w:rsid w:val="004B52C4"/>
    <w:rsid w:val="004B584C"/>
    <w:rsid w:val="004C5686"/>
    <w:rsid w:val="004D6BD3"/>
    <w:rsid w:val="004F6F51"/>
    <w:rsid w:val="005013F8"/>
    <w:rsid w:val="00511059"/>
    <w:rsid w:val="00511633"/>
    <w:rsid w:val="005144C6"/>
    <w:rsid w:val="005154DF"/>
    <w:rsid w:val="00522F7A"/>
    <w:rsid w:val="00540C30"/>
    <w:rsid w:val="005550FC"/>
    <w:rsid w:val="005628B0"/>
    <w:rsid w:val="0056435B"/>
    <w:rsid w:val="005658F1"/>
    <w:rsid w:val="00566A2E"/>
    <w:rsid w:val="00567F42"/>
    <w:rsid w:val="00572A8D"/>
    <w:rsid w:val="005732A9"/>
    <w:rsid w:val="00582885"/>
    <w:rsid w:val="005861F0"/>
    <w:rsid w:val="0059023D"/>
    <w:rsid w:val="005B3750"/>
    <w:rsid w:val="005B5BEB"/>
    <w:rsid w:val="005D307E"/>
    <w:rsid w:val="005E1BA5"/>
    <w:rsid w:val="005E7276"/>
    <w:rsid w:val="005F40A5"/>
    <w:rsid w:val="005F74EB"/>
    <w:rsid w:val="006031C4"/>
    <w:rsid w:val="006118F3"/>
    <w:rsid w:val="0062079E"/>
    <w:rsid w:val="00620A4F"/>
    <w:rsid w:val="006220B9"/>
    <w:rsid w:val="0062299E"/>
    <w:rsid w:val="00624C9C"/>
    <w:rsid w:val="00631A86"/>
    <w:rsid w:val="006331FE"/>
    <w:rsid w:val="00646BA4"/>
    <w:rsid w:val="00646DC4"/>
    <w:rsid w:val="0065026C"/>
    <w:rsid w:val="006950BE"/>
    <w:rsid w:val="0069516E"/>
    <w:rsid w:val="006A3B9F"/>
    <w:rsid w:val="006B5E0B"/>
    <w:rsid w:val="006C0557"/>
    <w:rsid w:val="006C5991"/>
    <w:rsid w:val="006D6F97"/>
    <w:rsid w:val="006E5BA2"/>
    <w:rsid w:val="006F3432"/>
    <w:rsid w:val="006F60A1"/>
    <w:rsid w:val="007033A6"/>
    <w:rsid w:val="00703878"/>
    <w:rsid w:val="00716062"/>
    <w:rsid w:val="00720DFB"/>
    <w:rsid w:val="0072199D"/>
    <w:rsid w:val="00737A14"/>
    <w:rsid w:val="00747729"/>
    <w:rsid w:val="00753A69"/>
    <w:rsid w:val="007557D3"/>
    <w:rsid w:val="007562ED"/>
    <w:rsid w:val="00757873"/>
    <w:rsid w:val="007966EB"/>
    <w:rsid w:val="00797FCF"/>
    <w:rsid w:val="007A087E"/>
    <w:rsid w:val="007A2576"/>
    <w:rsid w:val="007A4651"/>
    <w:rsid w:val="007A547C"/>
    <w:rsid w:val="007A60C8"/>
    <w:rsid w:val="007C5F48"/>
    <w:rsid w:val="007C6B1A"/>
    <w:rsid w:val="007D011D"/>
    <w:rsid w:val="007D4E5D"/>
    <w:rsid w:val="007D50EF"/>
    <w:rsid w:val="007E3285"/>
    <w:rsid w:val="007E6378"/>
    <w:rsid w:val="007F1E2B"/>
    <w:rsid w:val="007F24EB"/>
    <w:rsid w:val="00811D9F"/>
    <w:rsid w:val="00817629"/>
    <w:rsid w:val="00825433"/>
    <w:rsid w:val="00826906"/>
    <w:rsid w:val="00855207"/>
    <w:rsid w:val="0085654B"/>
    <w:rsid w:val="00862FD8"/>
    <w:rsid w:val="00863D31"/>
    <w:rsid w:val="00870738"/>
    <w:rsid w:val="00871EAF"/>
    <w:rsid w:val="0087258E"/>
    <w:rsid w:val="00884956"/>
    <w:rsid w:val="008859F2"/>
    <w:rsid w:val="00886E1F"/>
    <w:rsid w:val="008916BE"/>
    <w:rsid w:val="008A617C"/>
    <w:rsid w:val="008B2327"/>
    <w:rsid w:val="008B4EB5"/>
    <w:rsid w:val="008B63DF"/>
    <w:rsid w:val="008C7B07"/>
    <w:rsid w:val="008C7F14"/>
    <w:rsid w:val="008D352D"/>
    <w:rsid w:val="008D3E52"/>
    <w:rsid w:val="008D4191"/>
    <w:rsid w:val="008D556F"/>
    <w:rsid w:val="008D57B2"/>
    <w:rsid w:val="008E0B74"/>
    <w:rsid w:val="008E439B"/>
    <w:rsid w:val="008E5363"/>
    <w:rsid w:val="008E6153"/>
    <w:rsid w:val="008E7D07"/>
    <w:rsid w:val="008F78CD"/>
    <w:rsid w:val="00901323"/>
    <w:rsid w:val="009146AA"/>
    <w:rsid w:val="0092168D"/>
    <w:rsid w:val="00923AED"/>
    <w:rsid w:val="00940872"/>
    <w:rsid w:val="00951BB0"/>
    <w:rsid w:val="009573B1"/>
    <w:rsid w:val="00964ABA"/>
    <w:rsid w:val="0096568E"/>
    <w:rsid w:val="00966288"/>
    <w:rsid w:val="0098437A"/>
    <w:rsid w:val="00997155"/>
    <w:rsid w:val="009A4D0D"/>
    <w:rsid w:val="009A7050"/>
    <w:rsid w:val="009B39F2"/>
    <w:rsid w:val="009C54DD"/>
    <w:rsid w:val="009E2E9E"/>
    <w:rsid w:val="00A02846"/>
    <w:rsid w:val="00A02F24"/>
    <w:rsid w:val="00A04145"/>
    <w:rsid w:val="00A300C1"/>
    <w:rsid w:val="00A42B8F"/>
    <w:rsid w:val="00A50806"/>
    <w:rsid w:val="00A530BA"/>
    <w:rsid w:val="00A61D12"/>
    <w:rsid w:val="00A6373A"/>
    <w:rsid w:val="00A640D7"/>
    <w:rsid w:val="00A706FD"/>
    <w:rsid w:val="00A9190D"/>
    <w:rsid w:val="00A925A2"/>
    <w:rsid w:val="00AA2C46"/>
    <w:rsid w:val="00AA6130"/>
    <w:rsid w:val="00AB0DC1"/>
    <w:rsid w:val="00AB2224"/>
    <w:rsid w:val="00AB363F"/>
    <w:rsid w:val="00AB4B5B"/>
    <w:rsid w:val="00AC42A3"/>
    <w:rsid w:val="00AC4CC6"/>
    <w:rsid w:val="00AD5F17"/>
    <w:rsid w:val="00AD6686"/>
    <w:rsid w:val="00AE10C6"/>
    <w:rsid w:val="00AE2D16"/>
    <w:rsid w:val="00AF077E"/>
    <w:rsid w:val="00AF280E"/>
    <w:rsid w:val="00B07D49"/>
    <w:rsid w:val="00B10290"/>
    <w:rsid w:val="00B21978"/>
    <w:rsid w:val="00B2305E"/>
    <w:rsid w:val="00B3164D"/>
    <w:rsid w:val="00B37638"/>
    <w:rsid w:val="00B4248F"/>
    <w:rsid w:val="00B6319E"/>
    <w:rsid w:val="00B6473E"/>
    <w:rsid w:val="00B64E11"/>
    <w:rsid w:val="00B652A9"/>
    <w:rsid w:val="00B677EB"/>
    <w:rsid w:val="00B74AAE"/>
    <w:rsid w:val="00B81CC8"/>
    <w:rsid w:val="00B842C4"/>
    <w:rsid w:val="00B84437"/>
    <w:rsid w:val="00B84471"/>
    <w:rsid w:val="00B95134"/>
    <w:rsid w:val="00B965E2"/>
    <w:rsid w:val="00BA0F1C"/>
    <w:rsid w:val="00BC3381"/>
    <w:rsid w:val="00BC4D63"/>
    <w:rsid w:val="00BC4E1A"/>
    <w:rsid w:val="00BD2CA7"/>
    <w:rsid w:val="00BE260E"/>
    <w:rsid w:val="00BE5218"/>
    <w:rsid w:val="00BF37A5"/>
    <w:rsid w:val="00C04554"/>
    <w:rsid w:val="00C104C3"/>
    <w:rsid w:val="00C258EE"/>
    <w:rsid w:val="00C26A54"/>
    <w:rsid w:val="00C3165F"/>
    <w:rsid w:val="00C340F7"/>
    <w:rsid w:val="00C35045"/>
    <w:rsid w:val="00C35531"/>
    <w:rsid w:val="00C4029C"/>
    <w:rsid w:val="00C46484"/>
    <w:rsid w:val="00C63DD1"/>
    <w:rsid w:val="00C641EB"/>
    <w:rsid w:val="00C71699"/>
    <w:rsid w:val="00C736A0"/>
    <w:rsid w:val="00C80E5E"/>
    <w:rsid w:val="00C83BBA"/>
    <w:rsid w:val="00C87AB9"/>
    <w:rsid w:val="00CA0EE9"/>
    <w:rsid w:val="00CA1191"/>
    <w:rsid w:val="00CA2E15"/>
    <w:rsid w:val="00CA6778"/>
    <w:rsid w:val="00CB65D1"/>
    <w:rsid w:val="00CE0E3A"/>
    <w:rsid w:val="00CE23C0"/>
    <w:rsid w:val="00CE3D95"/>
    <w:rsid w:val="00CF39B1"/>
    <w:rsid w:val="00D06BAB"/>
    <w:rsid w:val="00D20C17"/>
    <w:rsid w:val="00D2374A"/>
    <w:rsid w:val="00D242E4"/>
    <w:rsid w:val="00D34B17"/>
    <w:rsid w:val="00D412D2"/>
    <w:rsid w:val="00D5319F"/>
    <w:rsid w:val="00D5687C"/>
    <w:rsid w:val="00D576B6"/>
    <w:rsid w:val="00D626F0"/>
    <w:rsid w:val="00D6581A"/>
    <w:rsid w:val="00D7724A"/>
    <w:rsid w:val="00D80102"/>
    <w:rsid w:val="00D816C0"/>
    <w:rsid w:val="00D863F0"/>
    <w:rsid w:val="00D86BA5"/>
    <w:rsid w:val="00D86C50"/>
    <w:rsid w:val="00D943A3"/>
    <w:rsid w:val="00D96FED"/>
    <w:rsid w:val="00DA33F8"/>
    <w:rsid w:val="00DA77EF"/>
    <w:rsid w:val="00DC2E96"/>
    <w:rsid w:val="00DC4BFA"/>
    <w:rsid w:val="00DD32FC"/>
    <w:rsid w:val="00DD5E1E"/>
    <w:rsid w:val="00DE1D2E"/>
    <w:rsid w:val="00DF0BE0"/>
    <w:rsid w:val="00DF6110"/>
    <w:rsid w:val="00E0403B"/>
    <w:rsid w:val="00E04BEE"/>
    <w:rsid w:val="00E06823"/>
    <w:rsid w:val="00E06B17"/>
    <w:rsid w:val="00E10010"/>
    <w:rsid w:val="00E22170"/>
    <w:rsid w:val="00E30AB9"/>
    <w:rsid w:val="00E413DF"/>
    <w:rsid w:val="00E425B8"/>
    <w:rsid w:val="00E50AE5"/>
    <w:rsid w:val="00E5128B"/>
    <w:rsid w:val="00E52012"/>
    <w:rsid w:val="00E52549"/>
    <w:rsid w:val="00E52B33"/>
    <w:rsid w:val="00E57009"/>
    <w:rsid w:val="00E70BF7"/>
    <w:rsid w:val="00E71F21"/>
    <w:rsid w:val="00E82FBC"/>
    <w:rsid w:val="00E848D3"/>
    <w:rsid w:val="00E90A6F"/>
    <w:rsid w:val="00E917F8"/>
    <w:rsid w:val="00E941F9"/>
    <w:rsid w:val="00EA41DB"/>
    <w:rsid w:val="00EB31A5"/>
    <w:rsid w:val="00EC1F08"/>
    <w:rsid w:val="00EC5B43"/>
    <w:rsid w:val="00ED0DAE"/>
    <w:rsid w:val="00EE2FCF"/>
    <w:rsid w:val="00EE4EEE"/>
    <w:rsid w:val="00EF181C"/>
    <w:rsid w:val="00EF3A41"/>
    <w:rsid w:val="00EF4372"/>
    <w:rsid w:val="00F04BF8"/>
    <w:rsid w:val="00F07C4F"/>
    <w:rsid w:val="00F200B2"/>
    <w:rsid w:val="00F22C9D"/>
    <w:rsid w:val="00F2474D"/>
    <w:rsid w:val="00F24D01"/>
    <w:rsid w:val="00F373CE"/>
    <w:rsid w:val="00F37820"/>
    <w:rsid w:val="00F445B1"/>
    <w:rsid w:val="00F5686D"/>
    <w:rsid w:val="00F56BAB"/>
    <w:rsid w:val="00F60373"/>
    <w:rsid w:val="00F625B0"/>
    <w:rsid w:val="00F67122"/>
    <w:rsid w:val="00F71D35"/>
    <w:rsid w:val="00F72859"/>
    <w:rsid w:val="00F73033"/>
    <w:rsid w:val="00F800F5"/>
    <w:rsid w:val="00F85DD2"/>
    <w:rsid w:val="00F8771B"/>
    <w:rsid w:val="00F9013B"/>
    <w:rsid w:val="00F95266"/>
    <w:rsid w:val="00F97493"/>
    <w:rsid w:val="00FA3594"/>
    <w:rsid w:val="00FB14B3"/>
    <w:rsid w:val="00FC3A89"/>
    <w:rsid w:val="00FC618F"/>
    <w:rsid w:val="00FD1F93"/>
    <w:rsid w:val="00FD5A10"/>
    <w:rsid w:val="00FD5C6C"/>
    <w:rsid w:val="00FE38A3"/>
    <w:rsid w:val="00FE51A4"/>
    <w:rsid w:val="00FF32BB"/>
    <w:rsid w:val="00FF583C"/>
    <w:rsid w:val="285B3D8A"/>
    <w:rsid w:val="628F7EF3"/>
    <w:rsid w:val="73B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8">
    <w:name w:val="heading 8"/>
    <w:basedOn w:val="Normal"/>
    <w:next w:val="Normal"/>
    <w:qFormat/>
    <w:pPr>
      <w:keepNext/>
      <w:keepLines/>
      <w:widowControl w:val="0"/>
      <w:tabs>
        <w:tab w:val="left" w:pos="1400"/>
      </w:tabs>
      <w:spacing w:before="200" w:after="0" w:line="240" w:lineRule="auto"/>
      <w:jc w:val="both"/>
      <w:outlineLvl w:val="7"/>
    </w:pPr>
    <w:rPr>
      <w:rFonts w:ascii="Times New Roman" w:eastAsia="Times New Roman" w:hAnsi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400"/>
      </w:tabs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semiHidden/>
    <w:rPr>
      <w:rFonts w:ascii="Calibri" w:eastAsia="SimSun" w:hAnsi="Calibri" w:cs="Times New Roman"/>
      <w:sz w:val="22"/>
      <w:szCs w:val="22"/>
      <w:lang w:eastAsia="zh-CN"/>
    </w:rPr>
  </w:style>
  <w:style w:type="character" w:styleId="FollowedHyperlink">
    <w:name w:val="FollowedHyperlink"/>
    <w:uiPriority w:val="99"/>
    <w:unhideWhenUsed/>
    <w:rPr>
      <w:rFonts w:ascii="Calibri" w:eastAsia="SimSun" w:hAnsi="Calibri" w:cs="Times New Roman"/>
      <w:color w:val="800080"/>
      <w:u w:val="single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sz w:val="24"/>
      <w:szCs w:val="24"/>
      <w:lang w:val="sr-Cyrl-CS" w:eastAsia="zh-CN"/>
    </w:rPr>
  </w:style>
  <w:style w:type="character" w:customStyle="1" w:styleId="Heading8Char6e404f4d-1417-41c3-a1d6-37055ce09c4e">
    <w:name w:val="Heading 8 Char_6e404f4d-1417-41c3-a1d6-37055ce09c4e"/>
    <w:rPr>
      <w:rFonts w:ascii="Calibri" w:eastAsia="SimSun" w:hAnsi="Calibri" w:cs="Times New Roman"/>
      <w:color w:val="404040"/>
      <w:sz w:val="20"/>
      <w:szCs w:val="20"/>
    </w:rPr>
  </w:style>
  <w:style w:type="character" w:styleId="Hyperlink">
    <w:name w:val="Hyperlink"/>
    <w:uiPriority w:val="99"/>
    <w:unhideWhenUsed/>
    <w:rPr>
      <w:rFonts w:ascii="Calibri" w:eastAsia="SimSun" w:hAnsi="Calibri" w:cs="Times New Roman"/>
      <w:color w:val="0000FF"/>
      <w:u w:val="single"/>
    </w:rPr>
  </w:style>
  <w:style w:type="character" w:customStyle="1" w:styleId="SubtitleChar">
    <w:name w:val="Subtitle Char"/>
    <w:rPr>
      <w:rFonts w:ascii="Arial" w:eastAsia="Times New Roman" w:hAnsi="Arial" w:cs="Arial"/>
      <w:sz w:val="24"/>
      <w:szCs w:val="24"/>
      <w:lang w:val="sr-Cyrl-CS"/>
    </w:rPr>
  </w:style>
  <w:style w:type="character" w:customStyle="1" w:styleId="rvts3">
    <w:name w:val="rvts3"/>
    <w:basedOn w:val="DefaultParagraphFont"/>
  </w:style>
  <w:style w:type="character" w:styleId="Strong">
    <w:name w:val="Strong"/>
    <w:uiPriority w:val="22"/>
    <w:qFormat/>
    <w:rPr>
      <w:rFonts w:ascii="Calibri" w:eastAsia="SimSun" w:hAnsi="Calibri" w:cs="Times New Roman"/>
      <w:b/>
      <w:bCs/>
    </w:rPr>
  </w:style>
  <w:style w:type="character" w:customStyle="1" w:styleId="TitleCharc2f9522b-793b-4ce6-a311-8c48a69dbb8d">
    <w:name w:val="Title Char_c2f9522b-793b-4ce6-a311-8c48a69dbb8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6234e1ea-446d-4769-8638-4475ce69aa9b">
    <w:name w:val="Heading 9 Char_6234e1ea-446d-4769-8638-4475ce69aa9b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link w:val="Header"/>
    <w:uiPriority w:val="99"/>
    <w:semiHidden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xl31">
    <w:name w:val="xl31"/>
    <w:basedOn w:val="Normal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styleId="BodyTextIndent">
    <w:name w:val="Body Text Indent"/>
    <w:basedOn w:val="Normal"/>
    <w:pPr>
      <w:tabs>
        <w:tab w:val="left" w:pos="140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eastAsia="en-US"/>
    </w:rPr>
  </w:style>
  <w:style w:type="paragraph" w:customStyle="1" w:styleId="xl28">
    <w:name w:val="xl28"/>
    <w:basedOn w:val="Normal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Subtitle">
    <w:name w:val="Subtitle"/>
    <w:basedOn w:val="Normal"/>
    <w:qFormat/>
    <w:pPr>
      <w:tabs>
        <w:tab w:val="left" w:pos="1400"/>
      </w:tabs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sr-Cyrl-CS"/>
    </w:rPr>
  </w:style>
  <w:style w:type="paragraph" w:customStyle="1" w:styleId="tekst">
    <w:name w:val="tekst"/>
    <w:basedOn w:val="Normal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rvps6">
    <w:name w:val="rvps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beograd.rs/lokalna-samouprava/uprava-gradske-opstine-novi-beograd/odeljenje-za-inspekcijske-poslo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servisnicentar@novibeograd.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%20&#1091;&#1087;&#1086;&#1088;&#1077;&#1076;&#1085;&#1086;%20&#1087;&#1086;%20&#1075;&#1086;&#1076;&#1080;&#1085;&#1072;&#1084;&#1072;%20&#1085;&#1072;&#1076;&#1079;&#1086;&#10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%20&#1091;&#1087;&#1086;&#1088;&#1077;&#1076;&#1085;&#1086;%20&#1087;&#1086;%20&#1075;&#1086;&#1076;&#1080;&#1085;&#1072;&#1084;&#1072;%20&#1085;&#1072;&#1076;&#1079;&#1086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Sheet1!$L$4:$L$13</c:f>
              <c:strCache>
                <c:ptCount val="10"/>
                <c:pt idx="0">
                  <c:v>комунални ред</c:v>
                </c:pt>
                <c:pt idx="1">
                  <c:v>становање и одржавање зграда</c:v>
                </c:pt>
                <c:pt idx="2">
                  <c:v>баште</c:v>
                </c:pt>
                <c:pt idx="3">
                  <c:v>чистоћа</c:v>
                </c:pt>
                <c:pt idx="4">
                  <c:v>оглашавање</c:v>
                </c:pt>
                <c:pt idx="5">
                  <c:v>јавна паркиралишта</c:v>
                </c:pt>
                <c:pt idx="6">
                  <c:v>улице и путеви</c:v>
                </c:pt>
                <c:pt idx="7">
                  <c:v>домаће животиње</c:v>
                </c:pt>
                <c:pt idx="8">
                  <c:v>покретни објекти</c:v>
                </c:pt>
                <c:pt idx="9">
                  <c:v>привремени објекти</c:v>
                </c:pt>
              </c:strCache>
            </c:strRef>
          </c:cat>
          <c:val>
            <c:numRef>
              <c:f>Sheet1!$M$4:$M$13</c:f>
              <c:numCache>
                <c:formatCode>General</c:formatCode>
                <c:ptCount val="10"/>
                <c:pt idx="0">
                  <c:v>1631</c:v>
                </c:pt>
                <c:pt idx="1">
                  <c:v>671</c:v>
                </c:pt>
                <c:pt idx="2">
                  <c:v>303</c:v>
                </c:pt>
                <c:pt idx="3">
                  <c:v>294</c:v>
                </c:pt>
                <c:pt idx="4">
                  <c:v>233</c:v>
                </c:pt>
                <c:pt idx="5">
                  <c:v>57</c:v>
                </c:pt>
                <c:pt idx="6">
                  <c:v>48</c:v>
                </c:pt>
                <c:pt idx="7">
                  <c:v>41</c:v>
                </c:pt>
                <c:pt idx="8">
                  <c:v>33</c:v>
                </c:pt>
                <c:pt idx="9">
                  <c:v>15</c:v>
                </c:pt>
              </c:numCache>
            </c:numRef>
          </c:val>
        </c:ser>
        <c:gapWidth val="55"/>
        <c:gapDepth val="55"/>
        <c:shape val="cylinder"/>
        <c:axId val="45845120"/>
        <c:axId val="45846912"/>
        <c:axId val="0"/>
      </c:bar3DChart>
      <c:catAx>
        <c:axId val="45845120"/>
        <c:scaling>
          <c:orientation val="minMax"/>
        </c:scaling>
        <c:axPos val="b"/>
        <c:majorTickMark val="none"/>
        <c:tickLblPos val="nextTo"/>
        <c:crossAx val="45846912"/>
        <c:crosses val="autoZero"/>
        <c:auto val="1"/>
        <c:lblAlgn val="ctr"/>
        <c:lblOffset val="100"/>
      </c:catAx>
      <c:valAx>
        <c:axId val="4584691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458451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Sheet1!$B$25:$B$29</c:f>
              <c:strCache>
                <c:ptCount val="5"/>
                <c:pt idx="0">
                  <c:v>средњи ризик</c:v>
                </c:pt>
                <c:pt idx="1">
                  <c:v>висок ризик</c:v>
                </c:pt>
                <c:pt idx="2">
                  <c:v>низак ризик</c:v>
                </c:pt>
                <c:pt idx="3">
                  <c:v>критичан ризик</c:v>
                </c:pt>
                <c:pt idx="4">
                  <c:v>незнатан</c:v>
                </c:pt>
              </c:strCache>
            </c:strRef>
          </c:cat>
          <c:val>
            <c:numRef>
              <c:f>Sheet1!$C$25:$C$29</c:f>
              <c:numCache>
                <c:formatCode>General</c:formatCode>
                <c:ptCount val="5"/>
                <c:pt idx="0">
                  <c:v>786</c:v>
                </c:pt>
                <c:pt idx="1">
                  <c:v>233</c:v>
                </c:pt>
                <c:pt idx="2">
                  <c:v>167</c:v>
                </c:pt>
                <c:pt idx="3">
                  <c:v>77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Sheet1!$B$50</c:f>
              <c:strCache>
                <c:ptCount val="1"/>
                <c:pt idx="0">
                  <c:v>откривени нерегистровани субјекти</c:v>
                </c:pt>
              </c:strCache>
            </c:strRef>
          </c:tx>
          <c:cat>
            <c:numRef>
              <c:f>Sheet1!$A$51:$A$55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Sheet1!$B$51:$B$55</c:f>
              <c:numCache>
                <c:formatCode>General</c:formatCode>
                <c:ptCount val="5"/>
                <c:pt idx="0">
                  <c:v>101</c:v>
                </c:pt>
                <c:pt idx="1">
                  <c:v>164</c:v>
                </c:pt>
                <c:pt idx="2">
                  <c:v>356</c:v>
                </c:pt>
                <c:pt idx="3">
                  <c:v>736</c:v>
                </c:pt>
                <c:pt idx="4">
                  <c:v>467</c:v>
                </c:pt>
              </c:numCache>
            </c:numRef>
          </c:val>
        </c:ser>
        <c:axId val="103764352"/>
        <c:axId val="103765888"/>
      </c:barChart>
      <c:catAx>
        <c:axId val="103764352"/>
        <c:scaling>
          <c:orientation val="minMax"/>
        </c:scaling>
        <c:axPos val="b"/>
        <c:numFmt formatCode="General" sourceLinked="1"/>
        <c:tickLblPos val="nextTo"/>
        <c:crossAx val="103765888"/>
        <c:crosses val="autoZero"/>
        <c:auto val="1"/>
        <c:lblAlgn val="ctr"/>
        <c:lblOffset val="100"/>
      </c:catAx>
      <c:valAx>
        <c:axId val="1037658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37643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626618547681543E-2"/>
          <c:y val="7.454870224555267E-2"/>
          <c:w val="0.56559623797025349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редован надзор по плану</c:v>
                </c:pt>
              </c:strCache>
            </c:strRef>
          </c:tx>
          <c:cat>
            <c:numRef>
              <c:f>Sheet1!$A$6:$A$10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Sheet1!$B$6:$B$10</c:f>
              <c:numCache>
                <c:formatCode>General</c:formatCode>
                <c:ptCount val="5"/>
                <c:pt idx="0">
                  <c:v>3927</c:v>
                </c:pt>
                <c:pt idx="1">
                  <c:v>2846</c:v>
                </c:pt>
                <c:pt idx="2">
                  <c:v>1281</c:v>
                </c:pt>
                <c:pt idx="3">
                  <c:v>2002</c:v>
                </c:pt>
                <c:pt idx="4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ванредан надзор по пријавама</c:v>
                </c:pt>
              </c:strCache>
            </c:strRef>
          </c:tx>
          <c:cat>
            <c:numRef>
              <c:f>Sheet1!$A$6:$A$10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Sheet1!$C$6:$C$10</c:f>
              <c:numCache>
                <c:formatCode>General</c:formatCode>
                <c:ptCount val="5"/>
                <c:pt idx="0">
                  <c:v>2070</c:v>
                </c:pt>
                <c:pt idx="1">
                  <c:v>2940</c:v>
                </c:pt>
                <c:pt idx="2">
                  <c:v>4505</c:v>
                </c:pt>
                <c:pt idx="3">
                  <c:v>3875</c:v>
                </c:pt>
                <c:pt idx="4">
                  <c:v>4871</c:v>
                </c:pt>
              </c:numCache>
            </c:numRef>
          </c:val>
        </c:ser>
        <c:axId val="103782272"/>
        <c:axId val="103783808"/>
      </c:barChart>
      <c:catAx>
        <c:axId val="103782272"/>
        <c:scaling>
          <c:orientation val="minMax"/>
        </c:scaling>
        <c:axPos val="b"/>
        <c:numFmt formatCode="General" sourceLinked="1"/>
        <c:tickLblPos val="nextTo"/>
        <c:crossAx val="103783808"/>
        <c:crosses val="autoZero"/>
        <c:auto val="1"/>
        <c:lblAlgn val="ctr"/>
        <c:lblOffset val="100"/>
      </c:catAx>
      <c:valAx>
        <c:axId val="1037838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378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17368</Characters>
  <Application>Microsoft Office Word</Application>
  <DocSecurity>0</DocSecurity>
  <Lines>144</Lines>
  <Paragraphs>40</Paragraphs>
  <ScaleCrop>false</ScaleCrop>
  <Company>Grizli777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 TTH7</dc:creator>
  <cp:lastModifiedBy>Windows User</cp:lastModifiedBy>
  <cp:revision>2</cp:revision>
  <dcterms:created xsi:type="dcterms:W3CDTF">2020-09-03T08:34:00Z</dcterms:created>
  <dcterms:modified xsi:type="dcterms:W3CDTF">2020-09-03T08:34:00Z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